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929" w:rsidRPr="002D3026" w:rsidRDefault="00382929" w:rsidP="003829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color w:val="4472C4" w:themeColor="accent1"/>
          <w:sz w:val="32"/>
          <w:szCs w:val="32"/>
          <w:lang w:eastAsia="fr-FR"/>
        </w:rPr>
      </w:pPr>
      <w:r w:rsidRPr="002D3026">
        <w:rPr>
          <w:rFonts w:eastAsia="Times New Roman" w:cs="Courier New"/>
          <w:b/>
          <w:color w:val="4472C4" w:themeColor="accent1"/>
          <w:sz w:val="32"/>
          <w:szCs w:val="32"/>
          <w:lang w:eastAsia="fr-FR"/>
        </w:rPr>
        <w:t>Lancement du Roll-out du Marqueur de genre et d’âge au Tchad</w:t>
      </w:r>
    </w:p>
    <w:p w:rsidR="00A57C41" w:rsidRPr="00DA5391" w:rsidRDefault="00382929" w:rsidP="00382929">
      <w:pPr>
        <w:ind w:left="284"/>
        <w:jc w:val="center"/>
        <w:rPr>
          <w:b/>
          <w:sz w:val="24"/>
          <w:szCs w:val="24"/>
        </w:rPr>
      </w:pPr>
      <w:r w:rsidRPr="00DA5391">
        <w:rPr>
          <w:b/>
          <w:sz w:val="24"/>
          <w:szCs w:val="24"/>
        </w:rPr>
        <w:t xml:space="preserve"> </w:t>
      </w:r>
      <w:r w:rsidR="00A57C41" w:rsidRPr="00DA5391">
        <w:rPr>
          <w:b/>
          <w:sz w:val="24"/>
          <w:szCs w:val="24"/>
        </w:rPr>
        <w:t>(MGA)</w:t>
      </w:r>
    </w:p>
    <w:p w:rsidR="00F4103E" w:rsidRPr="00DA5391" w:rsidRDefault="00BB1A3C" w:rsidP="005E4841">
      <w:pPr>
        <w:pStyle w:val="Titre1"/>
        <w:ind w:left="567"/>
      </w:pPr>
      <w:r w:rsidRPr="00DA5391">
        <w:t>Contexte et justification</w:t>
      </w:r>
    </w:p>
    <w:p w:rsidR="00EA25A5" w:rsidRPr="005E4841" w:rsidRDefault="00EA25A5" w:rsidP="005E4841">
      <w:pPr>
        <w:ind w:left="567"/>
        <w:contextualSpacing/>
        <w:jc w:val="both"/>
        <w:rPr>
          <w:sz w:val="24"/>
          <w:szCs w:val="24"/>
        </w:rPr>
      </w:pPr>
      <w:r w:rsidRPr="005E4841">
        <w:rPr>
          <w:sz w:val="24"/>
          <w:szCs w:val="24"/>
        </w:rPr>
        <w:t xml:space="preserve">La dimension genre a toujours représenté un défi pour les organisations humanitaires dans le cadre de leurs interventions sur le terrain. </w:t>
      </w:r>
      <w:proofErr w:type="gramStart"/>
      <w:r w:rsidRPr="005E4841">
        <w:rPr>
          <w:sz w:val="24"/>
          <w:szCs w:val="24"/>
        </w:rPr>
        <w:t>Suite à une</w:t>
      </w:r>
      <w:proofErr w:type="gramEnd"/>
      <w:r w:rsidRPr="005E4841">
        <w:rPr>
          <w:sz w:val="24"/>
          <w:szCs w:val="24"/>
        </w:rPr>
        <w:t xml:space="preserve"> analyse de faiblesse au niveau de la performance de l’outil marqueur genre, il a été remarqué qu’aucune mise en place de suivi n’a été faite pour mesurer le niveau d’application de cet outil. De plus, cette analyse a fait ressortir une non prise en compte réelle des aspects âg</w:t>
      </w:r>
      <w:r w:rsidR="0098192B" w:rsidRPr="005E4841">
        <w:rPr>
          <w:sz w:val="24"/>
          <w:szCs w:val="24"/>
        </w:rPr>
        <w:t xml:space="preserve">e </w:t>
      </w:r>
      <w:r w:rsidRPr="005E4841">
        <w:rPr>
          <w:sz w:val="24"/>
          <w:szCs w:val="24"/>
        </w:rPr>
        <w:t xml:space="preserve">et les autres catégories généralement exclues dans la réponse humanitaires comme les handicapées et groupes minoritaires </w:t>
      </w:r>
      <w:r w:rsidR="0098192B" w:rsidRPr="005E4841">
        <w:rPr>
          <w:sz w:val="24"/>
          <w:szCs w:val="24"/>
        </w:rPr>
        <w:t>dans les analyses</w:t>
      </w:r>
      <w:r w:rsidRPr="005E4841">
        <w:rPr>
          <w:sz w:val="24"/>
          <w:szCs w:val="24"/>
        </w:rPr>
        <w:t xml:space="preserve"> des besoins au cours de la réponse humanitaire.</w:t>
      </w:r>
    </w:p>
    <w:p w:rsidR="00EA25A5" w:rsidRPr="005E4841" w:rsidRDefault="00EA25A5" w:rsidP="005E4841">
      <w:pPr>
        <w:ind w:left="567"/>
        <w:contextualSpacing/>
        <w:jc w:val="both"/>
        <w:rPr>
          <w:sz w:val="24"/>
          <w:szCs w:val="24"/>
        </w:rPr>
      </w:pPr>
    </w:p>
    <w:p w:rsidR="005E4841" w:rsidRDefault="00EA25A5" w:rsidP="005E4841">
      <w:pPr>
        <w:ind w:left="567"/>
        <w:contextualSpacing/>
        <w:jc w:val="both"/>
        <w:rPr>
          <w:sz w:val="24"/>
          <w:szCs w:val="24"/>
        </w:rPr>
      </w:pPr>
      <w:r w:rsidRPr="005E4841">
        <w:rPr>
          <w:sz w:val="24"/>
          <w:szCs w:val="24"/>
        </w:rPr>
        <w:t xml:space="preserve">En ce sens, le Comité permanent </w:t>
      </w:r>
      <w:proofErr w:type="spellStart"/>
      <w:r w:rsidRPr="005E4841">
        <w:rPr>
          <w:sz w:val="24"/>
          <w:szCs w:val="24"/>
        </w:rPr>
        <w:t>interorganisations</w:t>
      </w:r>
      <w:proofErr w:type="spellEnd"/>
      <w:r w:rsidRPr="005E4841">
        <w:rPr>
          <w:sz w:val="24"/>
          <w:szCs w:val="24"/>
        </w:rPr>
        <w:t xml:space="preserve"> (IASC) a décidé de travailler sur un outil plus complet pour parer aux faiblesses du marqueur genre en ajoutant la composante âge. Plusieurs pays dont en Ukraine, Bangladesh, Jordanie, Haïti et Yémen ont soutenu le projet pilote du IASC</w:t>
      </w:r>
      <w:r w:rsidR="0098192B" w:rsidRPr="005E4841">
        <w:rPr>
          <w:sz w:val="24"/>
          <w:szCs w:val="24"/>
        </w:rPr>
        <w:t xml:space="preserve"> pour un test au niveau terrain en 2017 après avoir été développé. Ce qui a donné lieu à un outil complet sous le nom de Marqueur de genre et d’</w:t>
      </w:r>
      <w:r w:rsidR="00A57C41" w:rsidRPr="005E4841">
        <w:rPr>
          <w:sz w:val="24"/>
          <w:szCs w:val="24"/>
        </w:rPr>
        <w:t>âge (MGA</w:t>
      </w:r>
      <w:r w:rsidR="0098192B" w:rsidRPr="005E4841">
        <w:rPr>
          <w:sz w:val="24"/>
          <w:szCs w:val="24"/>
        </w:rPr>
        <w:t xml:space="preserve">). Les praticiens-ces ont trouvé que cela aidait énormément à identifier les points forts du programme, ainsi que la manière d'apporter des améliorations à l’assistance apportée. </w:t>
      </w:r>
      <w:r w:rsidR="00042C35" w:rsidRPr="005E4841">
        <w:rPr>
          <w:sz w:val="24"/>
          <w:szCs w:val="24"/>
        </w:rPr>
        <w:t xml:space="preserve"> </w:t>
      </w:r>
      <w:r w:rsidR="009B5469" w:rsidRPr="005E4841">
        <w:rPr>
          <w:sz w:val="24"/>
          <w:szCs w:val="24"/>
        </w:rPr>
        <w:t xml:space="preserve">Le </w:t>
      </w:r>
      <w:r w:rsidR="00A57C41" w:rsidRPr="005E4841">
        <w:rPr>
          <w:sz w:val="24"/>
          <w:szCs w:val="24"/>
        </w:rPr>
        <w:t>MGA</w:t>
      </w:r>
      <w:r w:rsidR="009B5469" w:rsidRPr="005E4841">
        <w:rPr>
          <w:sz w:val="24"/>
          <w:szCs w:val="24"/>
        </w:rPr>
        <w:t xml:space="preserve"> </w:t>
      </w:r>
      <w:r w:rsidR="0098192B" w:rsidRPr="005E4841">
        <w:rPr>
          <w:sz w:val="24"/>
          <w:szCs w:val="24"/>
        </w:rPr>
        <w:t>est une mise à jour du marqueur original de genre du IASC</w:t>
      </w:r>
      <w:r w:rsidR="009B5469" w:rsidRPr="005E4841">
        <w:rPr>
          <w:sz w:val="24"/>
          <w:szCs w:val="24"/>
        </w:rPr>
        <w:t xml:space="preserve"> et</w:t>
      </w:r>
      <w:r w:rsidR="006B4CC5" w:rsidRPr="005E4841">
        <w:rPr>
          <w:sz w:val="24"/>
          <w:szCs w:val="24"/>
        </w:rPr>
        <w:t xml:space="preserve"> il</w:t>
      </w:r>
      <w:r w:rsidR="009B5469" w:rsidRPr="005E4841">
        <w:rPr>
          <w:sz w:val="24"/>
          <w:szCs w:val="24"/>
        </w:rPr>
        <w:t xml:space="preserve"> complémente les marqueurs existants</w:t>
      </w:r>
      <w:r w:rsidR="0098192B" w:rsidRPr="005E4841">
        <w:rPr>
          <w:sz w:val="24"/>
          <w:szCs w:val="24"/>
        </w:rPr>
        <w:t xml:space="preserve">.  Il prend en considération les leçons </w:t>
      </w:r>
      <w:r w:rsidR="009B5469" w:rsidRPr="005E4841">
        <w:rPr>
          <w:sz w:val="24"/>
          <w:szCs w:val="24"/>
        </w:rPr>
        <w:t>apprises ;</w:t>
      </w:r>
      <w:r w:rsidR="0098192B" w:rsidRPr="005E4841">
        <w:rPr>
          <w:sz w:val="24"/>
          <w:szCs w:val="24"/>
        </w:rPr>
        <w:t xml:space="preserve"> passe de la conception à la </w:t>
      </w:r>
      <w:r w:rsidR="009B5469" w:rsidRPr="005E4841">
        <w:rPr>
          <w:sz w:val="24"/>
          <w:szCs w:val="24"/>
        </w:rPr>
        <w:t>surveillance ; incorpore</w:t>
      </w:r>
      <w:r w:rsidR="0098192B" w:rsidRPr="005E4841">
        <w:rPr>
          <w:sz w:val="24"/>
          <w:szCs w:val="24"/>
        </w:rPr>
        <w:t xml:space="preserve"> la diversité et l'âge.</w:t>
      </w:r>
    </w:p>
    <w:p w:rsidR="005E4841" w:rsidRDefault="005E4841" w:rsidP="005E4841">
      <w:pPr>
        <w:ind w:left="567"/>
        <w:contextualSpacing/>
        <w:jc w:val="both"/>
        <w:rPr>
          <w:rFonts w:eastAsia="Times New Roman" w:cs="Courier New"/>
          <w:sz w:val="24"/>
          <w:szCs w:val="24"/>
          <w:lang w:eastAsia="fr-FR"/>
        </w:rPr>
      </w:pPr>
    </w:p>
    <w:p w:rsidR="00042C35" w:rsidRPr="005E4841" w:rsidRDefault="00042C35" w:rsidP="005E4841">
      <w:pPr>
        <w:ind w:left="567"/>
        <w:contextualSpacing/>
        <w:jc w:val="both"/>
        <w:rPr>
          <w:sz w:val="24"/>
          <w:szCs w:val="24"/>
        </w:rPr>
      </w:pPr>
      <w:r w:rsidRPr="005E4841">
        <w:rPr>
          <w:rFonts w:eastAsia="Times New Roman" w:cs="Courier New"/>
          <w:sz w:val="24"/>
          <w:szCs w:val="24"/>
          <w:lang w:eastAsia="fr-FR"/>
        </w:rPr>
        <w:t>Le Marqueur de genre et d’âge a été lancé en juin 2018 en vue de surveiller l'action humanitaire, 21 juin par le Comité permanent inter-agences (IASC) lors de l'événement de haut niveau ECOSOC</w:t>
      </w:r>
      <w:r w:rsidR="005E4841" w:rsidRPr="005E4841">
        <w:rPr>
          <w:rFonts w:eastAsia="Times New Roman" w:cs="Courier New"/>
          <w:sz w:val="24"/>
          <w:szCs w:val="24"/>
          <w:lang w:eastAsia="fr-FR"/>
        </w:rPr>
        <w:t xml:space="preserve"> « un</w:t>
      </w:r>
      <w:r w:rsidRPr="005E4841">
        <w:rPr>
          <w:rFonts w:eastAsia="Times New Roman" w:cs="Courier New"/>
          <w:sz w:val="24"/>
          <w:szCs w:val="24"/>
          <w:lang w:eastAsia="fr-FR"/>
        </w:rPr>
        <w:t xml:space="preserve"> effort collectif pour ne laisser personne de </w:t>
      </w:r>
      <w:r w:rsidR="005E4841" w:rsidRPr="005E4841">
        <w:rPr>
          <w:rFonts w:eastAsia="Times New Roman" w:cs="Courier New"/>
          <w:sz w:val="24"/>
          <w:szCs w:val="24"/>
          <w:lang w:eastAsia="fr-FR"/>
        </w:rPr>
        <w:t>côté :</w:t>
      </w:r>
      <w:r w:rsidRPr="005E4841">
        <w:rPr>
          <w:rFonts w:eastAsia="Times New Roman" w:cs="Courier New"/>
          <w:sz w:val="24"/>
          <w:szCs w:val="24"/>
          <w:lang w:eastAsia="fr-FR"/>
        </w:rPr>
        <w:t xml:space="preserve"> renforcer la programmation de l'égalité des sexes dans l'action </w:t>
      </w:r>
      <w:proofErr w:type="gramStart"/>
      <w:r w:rsidRPr="005E4841">
        <w:rPr>
          <w:rFonts w:eastAsia="Times New Roman" w:cs="Courier New"/>
          <w:sz w:val="24"/>
          <w:szCs w:val="24"/>
          <w:lang w:eastAsia="fr-FR"/>
        </w:rPr>
        <w:t>humanitaire»</w:t>
      </w:r>
      <w:proofErr w:type="gramEnd"/>
      <w:r w:rsidRPr="005E4841">
        <w:rPr>
          <w:rFonts w:eastAsia="Times New Roman" w:cs="Courier New"/>
          <w:sz w:val="24"/>
          <w:szCs w:val="24"/>
          <w:lang w:eastAsia="fr-FR"/>
        </w:rPr>
        <w:t>.  Cet effort collectif montre plus que jamais, il est essentiel de veiller à ce que les projets humanitaires, la programmation et l'assistance soient sensibles au genre. À l'échelle mondiale, plus de 130 millions de personnes sont touchées par des crises humanitaires et ont besoin d'une aide vitale. Alors que les conflits restent le principal moteur des besoins humanitaires, les catastrophes naturelles pèsent lourdement sur la vie, la dignité et le bien-être des populations.</w:t>
      </w:r>
    </w:p>
    <w:p w:rsidR="00042C35" w:rsidRPr="005E4841" w:rsidRDefault="00042C35" w:rsidP="005E4841">
      <w:pPr>
        <w:ind w:left="567"/>
        <w:contextualSpacing/>
        <w:jc w:val="both"/>
        <w:rPr>
          <w:rFonts w:eastAsia="Times New Roman" w:cs="Courier New"/>
          <w:sz w:val="24"/>
          <w:szCs w:val="24"/>
          <w:lang w:eastAsia="fr-FR"/>
        </w:rPr>
      </w:pPr>
    </w:p>
    <w:p w:rsidR="00042C35" w:rsidRPr="005E4841" w:rsidRDefault="00042C35" w:rsidP="005E4841">
      <w:pPr>
        <w:ind w:left="567"/>
        <w:contextualSpacing/>
        <w:jc w:val="both"/>
        <w:rPr>
          <w:sz w:val="24"/>
          <w:szCs w:val="24"/>
        </w:rPr>
      </w:pPr>
      <w:r w:rsidRPr="005E4841">
        <w:rPr>
          <w:rFonts w:eastAsia="Times New Roman" w:cs="Courier New"/>
          <w:sz w:val="24"/>
          <w:szCs w:val="24"/>
          <w:lang w:eastAsia="fr-FR"/>
        </w:rPr>
        <w:t xml:space="preserve">Des progrès significatifs ont été accomplis dans l'intégration du genre dans l'action humanitaire, renforçant la capacité de la communauté humanitaire à répondre aux besoins, aux risques et aux vulnérabilités des femmes, des filles, des hommes et des garçons. Cependant, des défis subsistent pour intégrer systématiquement le genre à toutes les étapes de la réponse humanitaire. Dans certains secteurs de la réponse humanitaire, la programmation en matière d'égalité des sexes est encore considérée comme une charge en plus, voire un </w:t>
      </w:r>
      <w:proofErr w:type="gramStart"/>
      <w:r w:rsidRPr="005E4841">
        <w:rPr>
          <w:rFonts w:eastAsia="Times New Roman" w:cs="Courier New"/>
          <w:sz w:val="24"/>
          <w:szCs w:val="24"/>
          <w:lang w:eastAsia="fr-FR"/>
        </w:rPr>
        <w:t>fardeau»</w:t>
      </w:r>
      <w:proofErr w:type="gramEnd"/>
      <w:r w:rsidRPr="005E4841">
        <w:rPr>
          <w:rFonts w:eastAsia="Times New Roman" w:cs="Courier New"/>
          <w:sz w:val="24"/>
          <w:szCs w:val="24"/>
          <w:lang w:eastAsia="fr-FR"/>
        </w:rPr>
        <w:t>, selon Ursula Mueller, Secrétaire générale adjointe, lors de l'événement. »</w:t>
      </w:r>
      <w:r w:rsidRPr="005E4841">
        <w:rPr>
          <w:sz w:val="24"/>
          <w:szCs w:val="24"/>
        </w:rPr>
        <w:t xml:space="preserve"> </w:t>
      </w:r>
    </w:p>
    <w:p w:rsidR="00042C35" w:rsidRPr="005E4841" w:rsidRDefault="00042C35" w:rsidP="005E4841">
      <w:pPr>
        <w:ind w:left="567"/>
        <w:contextualSpacing/>
        <w:jc w:val="both"/>
        <w:rPr>
          <w:rFonts w:eastAsia="Times New Roman" w:cs="Courier New"/>
          <w:sz w:val="24"/>
          <w:szCs w:val="24"/>
          <w:lang w:eastAsia="fr-FR"/>
        </w:rPr>
      </w:pPr>
    </w:p>
    <w:p w:rsidR="005E4841" w:rsidRPr="005E4841" w:rsidRDefault="00042C35" w:rsidP="005E4841">
      <w:pPr>
        <w:ind w:left="567"/>
        <w:contextualSpacing/>
        <w:jc w:val="both"/>
        <w:rPr>
          <w:rFonts w:eastAsia="Times New Roman" w:cs="Courier New"/>
          <w:sz w:val="24"/>
          <w:szCs w:val="24"/>
          <w:lang w:eastAsia="fr-FR"/>
        </w:rPr>
      </w:pPr>
      <w:r w:rsidRPr="005E4841">
        <w:rPr>
          <w:rFonts w:eastAsia="Times New Roman" w:cs="Courier New"/>
          <w:sz w:val="24"/>
          <w:szCs w:val="24"/>
          <w:lang w:eastAsia="fr-FR"/>
        </w:rPr>
        <w:t xml:space="preserve">Le MGA examine dans quelle mesure les actions de programmation essentielles tiennent compte des différences liées au genre et à l'âge dans la conception et la mise en œuvre des programmes humanitaires. Il évalue également la pertinence et la cohérence du programme, les engagements importants du WHS et du Grand </w:t>
      </w:r>
      <w:proofErr w:type="spellStart"/>
      <w:r w:rsidRPr="005E4841">
        <w:rPr>
          <w:rFonts w:eastAsia="Times New Roman" w:cs="Courier New"/>
          <w:sz w:val="24"/>
          <w:szCs w:val="24"/>
          <w:lang w:eastAsia="fr-FR"/>
        </w:rPr>
        <w:t>Bargain</w:t>
      </w:r>
      <w:proofErr w:type="spellEnd"/>
      <w:r w:rsidRPr="005E4841">
        <w:rPr>
          <w:rFonts w:eastAsia="Times New Roman" w:cs="Courier New"/>
          <w:sz w:val="24"/>
          <w:szCs w:val="24"/>
          <w:lang w:eastAsia="fr-FR"/>
        </w:rPr>
        <w:t xml:space="preserve">. </w:t>
      </w:r>
      <w:r w:rsidR="005E4841">
        <w:rPr>
          <w:rFonts w:eastAsia="Times New Roman" w:cs="Courier New"/>
          <w:sz w:val="24"/>
          <w:szCs w:val="24"/>
          <w:lang w:eastAsia="fr-FR"/>
        </w:rPr>
        <w:t xml:space="preserve"> Son utilisation </w:t>
      </w:r>
      <w:r w:rsidR="005E4841" w:rsidRPr="005E4841">
        <w:rPr>
          <w:rFonts w:cs="RobotoCondensed-Bold"/>
          <w:bCs/>
          <w:sz w:val="24"/>
          <w:szCs w:val="24"/>
        </w:rPr>
        <w:t xml:space="preserve">guidera les organismes et les partenaires </w:t>
      </w:r>
      <w:r w:rsidR="005E4841" w:rsidRPr="005E4841">
        <w:rPr>
          <w:rFonts w:cs="RobotoCondensed-Bold"/>
          <w:bCs/>
          <w:sz w:val="24"/>
          <w:szCs w:val="24"/>
        </w:rPr>
        <w:lastRenderedPageBreak/>
        <w:t xml:space="preserve">sur la façon d’aborder </w:t>
      </w:r>
      <w:r w:rsidR="005E4841" w:rsidRPr="005E4841">
        <w:rPr>
          <w:rFonts w:cs="RobotoCondensed-Regular"/>
          <w:sz w:val="24"/>
          <w:szCs w:val="24"/>
        </w:rPr>
        <w:t>les différences liées au genre et à l'âge dans la réponse humanitaire dans la mise en œuvre de leurs actions. Cet outil a été développé en réponse à des demandes de renforcement du marqueur de genre original du IASC en incluant l'âge et, plus important, en ajoutant une composante de suivi pendant la phase de mise en œuvre. En plus de fournir un outil élargi pour mesurer l'efficacité du programme, il constitue un précieux outil d'enseignement et d'auto-évaluation, permettant aux organismes et aux partenaires d'apprendre par la pratique en améliorant les actions pour une programmation efficace adaptée à tous les aspects de la diversité.</w:t>
      </w:r>
    </w:p>
    <w:p w:rsidR="005E4841" w:rsidRDefault="005E4841" w:rsidP="005E4841">
      <w:pPr>
        <w:ind w:left="567"/>
        <w:contextualSpacing/>
        <w:jc w:val="both"/>
        <w:rPr>
          <w:rFonts w:cs="RobotoCondensed-Regular"/>
          <w:sz w:val="24"/>
          <w:szCs w:val="24"/>
        </w:rPr>
      </w:pPr>
    </w:p>
    <w:p w:rsidR="005E4841" w:rsidRPr="005E4841" w:rsidRDefault="005E4841" w:rsidP="005E4841">
      <w:pPr>
        <w:ind w:left="567"/>
        <w:contextualSpacing/>
        <w:jc w:val="both"/>
        <w:rPr>
          <w:rFonts w:eastAsia="Times New Roman" w:cs="Courier New"/>
          <w:sz w:val="24"/>
          <w:szCs w:val="24"/>
          <w:lang w:eastAsia="fr-FR"/>
        </w:rPr>
      </w:pPr>
      <w:r w:rsidRPr="005E4841">
        <w:rPr>
          <w:rFonts w:cs="RobotoCondensed-Regular"/>
          <w:sz w:val="24"/>
          <w:szCs w:val="24"/>
        </w:rPr>
        <w:t xml:space="preserve"> A l’approche du cycle de programme humanitaire (HPC) 2019, le MGA remplace l’ancien Marqueur de Genre de l’IASC appliqué aux projets d'appel depuis 2009. Son utilisation sera également requise dans le système de suivi financier (FTS), et les États membres doivent s'engager uniquement auprès des partenaires financiers qui rapportent au FTS en le MGA. Il est important de mentionner aussi qu’on peut l’appliquer au niveau de tout programme, incluant les stratégies de pays, les plans des clusters et des projets à travers les actions humanitaires et de développement. </w:t>
      </w:r>
    </w:p>
    <w:p w:rsidR="006B4CC5" w:rsidRPr="005E4841" w:rsidRDefault="006B4CC5" w:rsidP="005E4841">
      <w:pPr>
        <w:ind w:left="567"/>
        <w:contextualSpacing/>
        <w:jc w:val="both"/>
        <w:rPr>
          <w:sz w:val="24"/>
          <w:szCs w:val="24"/>
        </w:rPr>
      </w:pPr>
    </w:p>
    <w:p w:rsidR="00AE7B0D" w:rsidRPr="005E4841" w:rsidRDefault="006B4CC5" w:rsidP="005E4841">
      <w:pPr>
        <w:ind w:left="567"/>
        <w:contextualSpacing/>
        <w:jc w:val="both"/>
        <w:rPr>
          <w:sz w:val="24"/>
          <w:szCs w:val="24"/>
        </w:rPr>
      </w:pPr>
      <w:r w:rsidRPr="005E4841">
        <w:rPr>
          <w:sz w:val="24"/>
          <w:szCs w:val="24"/>
        </w:rPr>
        <w:t xml:space="preserve">Pour permettre une meilleure </w:t>
      </w:r>
      <w:r w:rsidR="007A5B86" w:rsidRPr="005E4841">
        <w:rPr>
          <w:sz w:val="24"/>
          <w:szCs w:val="24"/>
        </w:rPr>
        <w:t>appropriation</w:t>
      </w:r>
      <w:r w:rsidR="00A57C41" w:rsidRPr="005E4841">
        <w:rPr>
          <w:sz w:val="24"/>
          <w:szCs w:val="24"/>
        </w:rPr>
        <w:t xml:space="preserve"> du M</w:t>
      </w:r>
      <w:r w:rsidRPr="005E4841">
        <w:rPr>
          <w:sz w:val="24"/>
          <w:szCs w:val="24"/>
        </w:rPr>
        <w:t>G</w:t>
      </w:r>
      <w:r w:rsidR="00A57C41" w:rsidRPr="005E4841">
        <w:rPr>
          <w:sz w:val="24"/>
          <w:szCs w:val="24"/>
        </w:rPr>
        <w:t>A</w:t>
      </w:r>
      <w:r w:rsidRPr="005E4841">
        <w:rPr>
          <w:sz w:val="24"/>
          <w:szCs w:val="24"/>
        </w:rPr>
        <w:t xml:space="preserve">, un atelier a été organisé par GENCAP du 25 </w:t>
      </w:r>
      <w:r w:rsidR="00382929" w:rsidRPr="005E4841">
        <w:rPr>
          <w:sz w:val="24"/>
          <w:szCs w:val="24"/>
        </w:rPr>
        <w:t>au 28</w:t>
      </w:r>
      <w:r w:rsidRPr="005E4841">
        <w:rPr>
          <w:sz w:val="24"/>
          <w:szCs w:val="24"/>
        </w:rPr>
        <w:t xml:space="preserve"> février en Nairobi, </w:t>
      </w:r>
      <w:r w:rsidR="007A5B86" w:rsidRPr="005E4841">
        <w:rPr>
          <w:sz w:val="24"/>
          <w:szCs w:val="24"/>
        </w:rPr>
        <w:t>regroupant</w:t>
      </w:r>
      <w:r w:rsidRPr="005E4841">
        <w:rPr>
          <w:sz w:val="24"/>
          <w:szCs w:val="24"/>
        </w:rPr>
        <w:t xml:space="preserve"> des conseillers-</w:t>
      </w:r>
      <w:proofErr w:type="spellStart"/>
      <w:r w:rsidRPr="005E4841">
        <w:rPr>
          <w:sz w:val="24"/>
          <w:szCs w:val="24"/>
        </w:rPr>
        <w:t>res</w:t>
      </w:r>
      <w:proofErr w:type="spellEnd"/>
      <w:r w:rsidRPr="005E4841">
        <w:rPr>
          <w:sz w:val="24"/>
          <w:szCs w:val="24"/>
        </w:rPr>
        <w:t xml:space="preserve"> </w:t>
      </w:r>
      <w:proofErr w:type="spellStart"/>
      <w:r w:rsidRPr="005E4841">
        <w:rPr>
          <w:sz w:val="24"/>
          <w:szCs w:val="24"/>
        </w:rPr>
        <w:t>GenCap</w:t>
      </w:r>
      <w:proofErr w:type="spellEnd"/>
      <w:r w:rsidRPr="005E4841">
        <w:rPr>
          <w:sz w:val="24"/>
          <w:szCs w:val="24"/>
        </w:rPr>
        <w:t xml:space="preserve"> accompagnés d'homologues de six pays</w:t>
      </w:r>
      <w:r w:rsidR="00594BDB" w:rsidRPr="005E4841">
        <w:rPr>
          <w:sz w:val="24"/>
          <w:szCs w:val="24"/>
        </w:rPr>
        <w:t xml:space="preserve"> </w:t>
      </w:r>
      <w:r w:rsidRPr="005E4841">
        <w:rPr>
          <w:sz w:val="24"/>
          <w:szCs w:val="24"/>
        </w:rPr>
        <w:t>ainsi que des membres du personnel de quatre pays</w:t>
      </w:r>
      <w:r w:rsidR="00594BDB" w:rsidRPr="005E4841">
        <w:rPr>
          <w:sz w:val="24"/>
          <w:szCs w:val="24"/>
        </w:rPr>
        <w:t xml:space="preserve"> </w:t>
      </w:r>
      <w:r w:rsidR="00A57C41" w:rsidRPr="005E4841">
        <w:rPr>
          <w:sz w:val="24"/>
          <w:szCs w:val="24"/>
        </w:rPr>
        <w:t>pilotes MGA</w:t>
      </w:r>
      <w:r w:rsidRPr="005E4841">
        <w:rPr>
          <w:sz w:val="24"/>
          <w:szCs w:val="24"/>
        </w:rPr>
        <w:t xml:space="preserve"> où </w:t>
      </w:r>
      <w:proofErr w:type="spellStart"/>
      <w:r w:rsidRPr="005E4841">
        <w:rPr>
          <w:sz w:val="24"/>
          <w:szCs w:val="24"/>
        </w:rPr>
        <w:t>GenCap</w:t>
      </w:r>
      <w:proofErr w:type="spellEnd"/>
      <w:r w:rsidRPr="005E4841">
        <w:rPr>
          <w:sz w:val="24"/>
          <w:szCs w:val="24"/>
        </w:rPr>
        <w:t xml:space="preserve"> n'est plus présent. Le programme a é</w:t>
      </w:r>
      <w:r w:rsidR="007A5B86" w:rsidRPr="005E4841">
        <w:rPr>
          <w:sz w:val="24"/>
          <w:szCs w:val="24"/>
        </w:rPr>
        <w:t xml:space="preserve">té facilité par deux conseillères Global </w:t>
      </w:r>
      <w:proofErr w:type="spellStart"/>
      <w:r w:rsidR="007A5B86" w:rsidRPr="005E4841">
        <w:rPr>
          <w:sz w:val="24"/>
          <w:szCs w:val="24"/>
        </w:rPr>
        <w:t>GenCap</w:t>
      </w:r>
      <w:proofErr w:type="spellEnd"/>
      <w:r w:rsidR="007A5B86" w:rsidRPr="005E4841">
        <w:rPr>
          <w:sz w:val="24"/>
          <w:szCs w:val="24"/>
        </w:rPr>
        <w:t>.  Plusieurs pays dont Bangladesh</w:t>
      </w:r>
      <w:r w:rsidR="00AE097E" w:rsidRPr="005E4841">
        <w:rPr>
          <w:sz w:val="24"/>
          <w:szCs w:val="24"/>
        </w:rPr>
        <w:t>,</w:t>
      </w:r>
      <w:r w:rsidR="007A5B86" w:rsidRPr="005E4841">
        <w:rPr>
          <w:sz w:val="24"/>
          <w:szCs w:val="24"/>
        </w:rPr>
        <w:t xml:space="preserve"> Cameroun</w:t>
      </w:r>
      <w:r w:rsidR="00AE097E" w:rsidRPr="005E4841">
        <w:rPr>
          <w:sz w:val="24"/>
          <w:szCs w:val="24"/>
        </w:rPr>
        <w:t>,</w:t>
      </w:r>
      <w:r w:rsidR="007A5B86" w:rsidRPr="005E4841">
        <w:rPr>
          <w:sz w:val="24"/>
          <w:szCs w:val="24"/>
        </w:rPr>
        <w:t xml:space="preserve"> RCA</w:t>
      </w:r>
      <w:r w:rsidR="00AE097E" w:rsidRPr="005E4841">
        <w:rPr>
          <w:sz w:val="24"/>
          <w:szCs w:val="24"/>
        </w:rPr>
        <w:t>,</w:t>
      </w:r>
      <w:r w:rsidR="007A5B86" w:rsidRPr="005E4841">
        <w:rPr>
          <w:sz w:val="24"/>
          <w:szCs w:val="24"/>
        </w:rPr>
        <w:t xml:space="preserve"> Tchad</w:t>
      </w:r>
      <w:r w:rsidR="00AE097E" w:rsidRPr="005E4841">
        <w:rPr>
          <w:sz w:val="24"/>
          <w:szCs w:val="24"/>
        </w:rPr>
        <w:t xml:space="preserve">, </w:t>
      </w:r>
      <w:r w:rsidR="007A5B86" w:rsidRPr="005E4841">
        <w:rPr>
          <w:sz w:val="24"/>
          <w:szCs w:val="24"/>
        </w:rPr>
        <w:t>Congo</w:t>
      </w:r>
      <w:r w:rsidR="00AE097E" w:rsidRPr="005E4841">
        <w:rPr>
          <w:sz w:val="24"/>
          <w:szCs w:val="24"/>
        </w:rPr>
        <w:t>,</w:t>
      </w:r>
      <w:r w:rsidR="007A5B86" w:rsidRPr="005E4841">
        <w:rPr>
          <w:sz w:val="24"/>
          <w:szCs w:val="24"/>
        </w:rPr>
        <w:t xml:space="preserve"> </w:t>
      </w:r>
      <w:r w:rsidR="00AE097E" w:rsidRPr="005E4841">
        <w:rPr>
          <w:sz w:val="24"/>
          <w:szCs w:val="24"/>
        </w:rPr>
        <w:t>RDC,</w:t>
      </w:r>
      <w:r w:rsidR="007A5B86" w:rsidRPr="005E4841">
        <w:rPr>
          <w:sz w:val="24"/>
          <w:szCs w:val="24"/>
        </w:rPr>
        <w:t xml:space="preserve"> </w:t>
      </w:r>
      <w:proofErr w:type="spellStart"/>
      <w:r w:rsidR="007A5B86" w:rsidRPr="005E4841">
        <w:rPr>
          <w:sz w:val="24"/>
          <w:szCs w:val="24"/>
        </w:rPr>
        <w:t>Gazientep</w:t>
      </w:r>
      <w:proofErr w:type="spellEnd"/>
      <w:r w:rsidR="00AE097E" w:rsidRPr="005E4841">
        <w:rPr>
          <w:sz w:val="24"/>
          <w:szCs w:val="24"/>
        </w:rPr>
        <w:t>,</w:t>
      </w:r>
      <w:r w:rsidR="007A5B86" w:rsidRPr="005E4841">
        <w:rPr>
          <w:sz w:val="24"/>
          <w:szCs w:val="24"/>
        </w:rPr>
        <w:t xml:space="preserve"> </w:t>
      </w:r>
      <w:r w:rsidR="00382929" w:rsidRPr="005E4841">
        <w:rPr>
          <w:sz w:val="24"/>
          <w:szCs w:val="24"/>
        </w:rPr>
        <w:t>Genève, Liberia</w:t>
      </w:r>
      <w:r w:rsidR="00AE097E" w:rsidRPr="005E4841">
        <w:rPr>
          <w:sz w:val="24"/>
          <w:szCs w:val="24"/>
        </w:rPr>
        <w:t>,</w:t>
      </w:r>
      <w:r w:rsidR="007A5B86" w:rsidRPr="005E4841">
        <w:rPr>
          <w:sz w:val="24"/>
          <w:szCs w:val="24"/>
        </w:rPr>
        <w:t xml:space="preserve"> Jordanie</w:t>
      </w:r>
      <w:r w:rsidR="00AE097E" w:rsidRPr="005E4841">
        <w:rPr>
          <w:sz w:val="24"/>
          <w:szCs w:val="24"/>
        </w:rPr>
        <w:t>,</w:t>
      </w:r>
      <w:r w:rsidR="007A5B86" w:rsidRPr="005E4841">
        <w:rPr>
          <w:sz w:val="24"/>
          <w:szCs w:val="24"/>
        </w:rPr>
        <w:t xml:space="preserve"> Kenya</w:t>
      </w:r>
      <w:r w:rsidR="00AE097E" w:rsidRPr="005E4841">
        <w:rPr>
          <w:sz w:val="24"/>
          <w:szCs w:val="24"/>
        </w:rPr>
        <w:t>,</w:t>
      </w:r>
      <w:r w:rsidR="007A5B86" w:rsidRPr="005E4841">
        <w:rPr>
          <w:sz w:val="24"/>
          <w:szCs w:val="24"/>
        </w:rPr>
        <w:t xml:space="preserve"> Uganda, </w:t>
      </w:r>
      <w:proofErr w:type="spellStart"/>
      <w:r w:rsidR="007A5B86" w:rsidRPr="005E4841">
        <w:rPr>
          <w:sz w:val="24"/>
          <w:szCs w:val="24"/>
        </w:rPr>
        <w:t>Yemen</w:t>
      </w:r>
      <w:proofErr w:type="spellEnd"/>
      <w:r w:rsidR="007A5B86" w:rsidRPr="005E4841">
        <w:rPr>
          <w:sz w:val="24"/>
          <w:szCs w:val="24"/>
        </w:rPr>
        <w:t>, Ukraine</w:t>
      </w:r>
      <w:r w:rsidR="00AE097E" w:rsidRPr="005E4841">
        <w:rPr>
          <w:sz w:val="24"/>
          <w:szCs w:val="24"/>
        </w:rPr>
        <w:t xml:space="preserve"> </w:t>
      </w:r>
      <w:r w:rsidR="007A5B86" w:rsidRPr="005E4841">
        <w:rPr>
          <w:sz w:val="24"/>
          <w:szCs w:val="24"/>
        </w:rPr>
        <w:t>ont été représentés.</w:t>
      </w:r>
    </w:p>
    <w:p w:rsidR="00AE7B0D" w:rsidRPr="00382929" w:rsidRDefault="00AE7B0D" w:rsidP="005E4841">
      <w:pPr>
        <w:pStyle w:val="Titre1"/>
        <w:ind w:left="567"/>
        <w:rPr>
          <w:rFonts w:asciiTheme="minorHAnsi" w:hAnsiTheme="minorHAnsi"/>
          <w:sz w:val="24"/>
          <w:szCs w:val="24"/>
        </w:rPr>
      </w:pPr>
      <w:r w:rsidRPr="00382929">
        <w:rPr>
          <w:rFonts w:asciiTheme="minorHAnsi" w:hAnsiTheme="minorHAnsi"/>
          <w:sz w:val="24"/>
          <w:szCs w:val="24"/>
        </w:rPr>
        <w:t>Objectifs</w:t>
      </w:r>
    </w:p>
    <w:p w:rsidR="007A5B86" w:rsidRPr="00382929" w:rsidRDefault="007A5B86" w:rsidP="005E4841">
      <w:pPr>
        <w:ind w:left="567"/>
        <w:contextualSpacing/>
        <w:jc w:val="both"/>
        <w:rPr>
          <w:sz w:val="24"/>
          <w:szCs w:val="24"/>
        </w:rPr>
      </w:pPr>
    </w:p>
    <w:p w:rsidR="007A5B86" w:rsidRPr="00382929" w:rsidRDefault="00F0700D" w:rsidP="005E4841">
      <w:pPr>
        <w:ind w:left="567"/>
        <w:contextualSpacing/>
        <w:jc w:val="both"/>
        <w:rPr>
          <w:rFonts w:eastAsia="Times New Roman" w:cs="Courier New"/>
          <w:color w:val="212121"/>
          <w:sz w:val="24"/>
          <w:szCs w:val="24"/>
          <w:lang w:eastAsia="fr-FR"/>
        </w:rPr>
      </w:pPr>
      <w:r w:rsidRPr="00382929">
        <w:rPr>
          <w:sz w:val="24"/>
          <w:szCs w:val="24"/>
        </w:rPr>
        <w:t>Les objectifs de l’atelier</w:t>
      </w:r>
      <w:r w:rsidR="006B4CC5" w:rsidRPr="00382929">
        <w:rPr>
          <w:sz w:val="24"/>
          <w:szCs w:val="24"/>
        </w:rPr>
        <w:t xml:space="preserve"> </w:t>
      </w:r>
      <w:r w:rsidR="007A5B86" w:rsidRPr="00382929">
        <w:rPr>
          <w:sz w:val="24"/>
          <w:szCs w:val="24"/>
        </w:rPr>
        <w:t xml:space="preserve">étaient de permettre aux participants-tes de : </w:t>
      </w:r>
    </w:p>
    <w:p w:rsidR="00D42953" w:rsidRPr="00D42953" w:rsidRDefault="006E62E3" w:rsidP="00D42953">
      <w:pPr>
        <w:pStyle w:val="Paragraphedeliste"/>
        <w:numPr>
          <w:ilvl w:val="0"/>
          <w:numId w:val="3"/>
        </w:numPr>
        <w:jc w:val="both"/>
        <w:rPr>
          <w:rFonts w:eastAsia="Times New Roman" w:cs="Courier New"/>
          <w:color w:val="212121"/>
          <w:sz w:val="24"/>
          <w:szCs w:val="24"/>
          <w:lang w:val="fr-FR" w:eastAsia="fr-FR"/>
        </w:rPr>
      </w:pPr>
      <w:r w:rsidRPr="00D42953">
        <w:rPr>
          <w:sz w:val="24"/>
          <w:szCs w:val="24"/>
          <w:lang w:val="fr-FR"/>
        </w:rPr>
        <w:t>Devenir</w:t>
      </w:r>
      <w:r w:rsidR="006B4CC5" w:rsidRPr="00D42953">
        <w:rPr>
          <w:sz w:val="24"/>
          <w:szCs w:val="24"/>
          <w:lang w:val="fr-FR"/>
        </w:rPr>
        <w:t xml:space="preserve"> confiant</w:t>
      </w:r>
      <w:r w:rsidR="007A5B86" w:rsidRPr="00D42953">
        <w:rPr>
          <w:sz w:val="24"/>
          <w:szCs w:val="24"/>
          <w:lang w:val="fr-FR"/>
        </w:rPr>
        <w:t>s</w:t>
      </w:r>
      <w:r w:rsidR="006B4CC5" w:rsidRPr="00D42953">
        <w:rPr>
          <w:sz w:val="24"/>
          <w:szCs w:val="24"/>
          <w:lang w:val="fr-FR"/>
        </w:rPr>
        <w:t xml:space="preserve"> et compétent</w:t>
      </w:r>
      <w:r w:rsidR="007A5B86" w:rsidRPr="00D42953">
        <w:rPr>
          <w:sz w:val="24"/>
          <w:szCs w:val="24"/>
          <w:lang w:val="fr-FR"/>
        </w:rPr>
        <w:t>s</w:t>
      </w:r>
      <w:r w:rsidR="006B4CC5" w:rsidRPr="00D42953">
        <w:rPr>
          <w:sz w:val="24"/>
          <w:szCs w:val="24"/>
          <w:lang w:val="fr-FR"/>
        </w:rPr>
        <w:t xml:space="preserve"> dans l'utilisation, l'analyse, l'ex</w:t>
      </w:r>
      <w:r w:rsidR="007A5B86" w:rsidRPr="00D42953">
        <w:rPr>
          <w:sz w:val="24"/>
          <w:szCs w:val="24"/>
          <w:lang w:val="fr-FR"/>
        </w:rPr>
        <w:t xml:space="preserve">plication et la promotion du </w:t>
      </w:r>
      <w:r w:rsidR="00A57C41" w:rsidRPr="00D42953">
        <w:rPr>
          <w:sz w:val="24"/>
          <w:szCs w:val="24"/>
          <w:lang w:val="fr-FR"/>
        </w:rPr>
        <w:t>MGA</w:t>
      </w:r>
    </w:p>
    <w:p w:rsidR="00D42953" w:rsidRPr="00D42953" w:rsidRDefault="006E62E3" w:rsidP="00D42953">
      <w:pPr>
        <w:pStyle w:val="Paragraphedeliste"/>
        <w:numPr>
          <w:ilvl w:val="0"/>
          <w:numId w:val="3"/>
        </w:numPr>
        <w:jc w:val="both"/>
        <w:rPr>
          <w:rFonts w:eastAsia="Times New Roman" w:cs="Courier New"/>
          <w:color w:val="212121"/>
          <w:sz w:val="24"/>
          <w:szCs w:val="24"/>
          <w:lang w:val="fr-FR" w:eastAsia="fr-FR"/>
        </w:rPr>
      </w:pPr>
      <w:r w:rsidRPr="00D42953">
        <w:rPr>
          <w:sz w:val="24"/>
          <w:szCs w:val="24"/>
          <w:lang w:val="fr-FR"/>
        </w:rPr>
        <w:t>S’accorder</w:t>
      </w:r>
      <w:r w:rsidR="006B4CC5" w:rsidRPr="00D42953">
        <w:rPr>
          <w:sz w:val="24"/>
          <w:szCs w:val="24"/>
          <w:lang w:val="fr-FR"/>
        </w:rPr>
        <w:t xml:space="preserve"> sur des messages communs et de</w:t>
      </w:r>
      <w:r w:rsidR="007A5B86" w:rsidRPr="00D42953">
        <w:rPr>
          <w:sz w:val="24"/>
          <w:szCs w:val="24"/>
          <w:lang w:val="fr-FR"/>
        </w:rPr>
        <w:t xml:space="preserve">s approches pour utiliser le </w:t>
      </w:r>
      <w:r w:rsidR="00A57C41" w:rsidRPr="00D42953">
        <w:rPr>
          <w:sz w:val="24"/>
          <w:szCs w:val="24"/>
          <w:lang w:val="fr-FR"/>
        </w:rPr>
        <w:t>MGA</w:t>
      </w:r>
    </w:p>
    <w:p w:rsidR="00D42953" w:rsidRPr="00D42953" w:rsidRDefault="006E62E3" w:rsidP="00D42953">
      <w:pPr>
        <w:pStyle w:val="Paragraphedeliste"/>
        <w:numPr>
          <w:ilvl w:val="0"/>
          <w:numId w:val="3"/>
        </w:numPr>
        <w:jc w:val="both"/>
        <w:rPr>
          <w:rFonts w:eastAsia="Times New Roman" w:cs="Courier New"/>
          <w:color w:val="212121"/>
          <w:sz w:val="24"/>
          <w:szCs w:val="24"/>
          <w:lang w:val="fr-FR" w:eastAsia="fr-FR"/>
        </w:rPr>
      </w:pPr>
      <w:r w:rsidRPr="00D42953">
        <w:rPr>
          <w:sz w:val="24"/>
          <w:szCs w:val="24"/>
          <w:lang w:val="fr-FR"/>
        </w:rPr>
        <w:t>Discuter</w:t>
      </w:r>
      <w:r w:rsidR="006B4CC5" w:rsidRPr="00D42953">
        <w:rPr>
          <w:sz w:val="24"/>
          <w:szCs w:val="24"/>
          <w:lang w:val="fr-FR"/>
        </w:rPr>
        <w:t xml:space="preserve"> et démontrer des techniques pour mobiliser et renforcer les capacités des autres</w:t>
      </w:r>
    </w:p>
    <w:p w:rsidR="006B4CC5" w:rsidRPr="00D42953" w:rsidRDefault="006E62E3" w:rsidP="00D42953">
      <w:pPr>
        <w:pStyle w:val="Paragraphedeliste"/>
        <w:numPr>
          <w:ilvl w:val="0"/>
          <w:numId w:val="3"/>
        </w:numPr>
        <w:jc w:val="both"/>
        <w:rPr>
          <w:rFonts w:eastAsia="Times New Roman" w:cs="Courier New"/>
          <w:color w:val="212121"/>
          <w:sz w:val="24"/>
          <w:szCs w:val="24"/>
          <w:lang w:val="fr-FR" w:eastAsia="fr-FR"/>
        </w:rPr>
      </w:pPr>
      <w:r w:rsidRPr="00D42953">
        <w:rPr>
          <w:sz w:val="24"/>
          <w:szCs w:val="24"/>
          <w:lang w:val="fr-FR"/>
        </w:rPr>
        <w:t>Développer</w:t>
      </w:r>
      <w:r w:rsidR="006B4CC5" w:rsidRPr="00D42953">
        <w:rPr>
          <w:sz w:val="24"/>
          <w:szCs w:val="24"/>
          <w:lang w:val="fr-FR"/>
        </w:rPr>
        <w:t xml:space="preserve"> </w:t>
      </w:r>
      <w:r w:rsidR="007A5B86" w:rsidRPr="00D42953">
        <w:rPr>
          <w:sz w:val="24"/>
          <w:szCs w:val="24"/>
          <w:lang w:val="fr-FR"/>
        </w:rPr>
        <w:t>des plans d'action pour l’application de l’outil dans leurs pays respectifs</w:t>
      </w:r>
    </w:p>
    <w:p w:rsidR="00D42953" w:rsidRDefault="00DA5391" w:rsidP="005E4841">
      <w:pPr>
        <w:ind w:left="567"/>
        <w:contextualSpacing/>
        <w:jc w:val="both"/>
        <w:rPr>
          <w:rFonts w:cs="Arial"/>
          <w:color w:val="212121"/>
          <w:sz w:val="24"/>
          <w:szCs w:val="24"/>
          <w:shd w:val="clear" w:color="auto" w:fill="FFFFFF"/>
        </w:rPr>
        <w:sectPr w:rsidR="00D42953" w:rsidSect="005E4841">
          <w:pgSz w:w="11906" w:h="16838"/>
          <w:pgMar w:top="1417" w:right="1417" w:bottom="1417" w:left="567" w:header="708" w:footer="708" w:gutter="0"/>
          <w:cols w:space="708"/>
          <w:docGrid w:linePitch="360"/>
        </w:sectPr>
      </w:pPr>
      <w:r w:rsidRPr="00382929">
        <w:rPr>
          <w:rFonts w:cs="Arial"/>
          <w:color w:val="212121"/>
          <w:sz w:val="24"/>
          <w:szCs w:val="24"/>
          <w:shd w:val="clear" w:color="auto" w:fill="FFFFFF"/>
        </w:rPr>
        <w:t>En termes de suivi de l’atelier</w:t>
      </w:r>
      <w:r w:rsidR="00EF00EB" w:rsidRPr="00382929">
        <w:rPr>
          <w:rFonts w:cs="Arial"/>
          <w:color w:val="212121"/>
          <w:sz w:val="24"/>
          <w:szCs w:val="24"/>
          <w:shd w:val="clear" w:color="auto" w:fill="FFFFFF"/>
        </w:rPr>
        <w:t xml:space="preserve">, il a été exigé aux points focaux de travailler sur un plan d’action pour le Roll out du </w:t>
      </w:r>
      <w:r w:rsidR="00A57C41" w:rsidRPr="00382929">
        <w:rPr>
          <w:rFonts w:cs="Arial"/>
          <w:color w:val="212121"/>
          <w:sz w:val="24"/>
          <w:szCs w:val="24"/>
          <w:shd w:val="clear" w:color="auto" w:fill="FFFFFF"/>
        </w:rPr>
        <w:t>MGA</w:t>
      </w:r>
      <w:r w:rsidR="00EF00EB" w:rsidRPr="00382929">
        <w:rPr>
          <w:rFonts w:cs="Arial"/>
          <w:color w:val="212121"/>
          <w:sz w:val="24"/>
          <w:szCs w:val="24"/>
          <w:shd w:val="clear" w:color="auto" w:fill="FFFFFF"/>
        </w:rPr>
        <w:t xml:space="preserve"> dan</w:t>
      </w:r>
      <w:r w:rsidRPr="00382929">
        <w:rPr>
          <w:rFonts w:cs="Arial"/>
          <w:color w:val="212121"/>
          <w:sz w:val="24"/>
          <w:szCs w:val="24"/>
          <w:shd w:val="clear" w:color="auto" w:fill="FFFFFF"/>
        </w:rPr>
        <w:t xml:space="preserve">s leurs pays respectifs. </w:t>
      </w:r>
      <w:r w:rsidR="00EF00EB" w:rsidRPr="00382929">
        <w:rPr>
          <w:rFonts w:cs="Arial"/>
          <w:color w:val="212121"/>
          <w:sz w:val="24"/>
          <w:szCs w:val="24"/>
          <w:shd w:val="clear" w:color="auto" w:fill="FFFFFF"/>
        </w:rPr>
        <w:t xml:space="preserve">C’est ce qui aussi a justifié la présence d’OCHA Chad </w:t>
      </w:r>
      <w:r w:rsidRPr="00382929">
        <w:rPr>
          <w:rFonts w:cs="Arial"/>
          <w:color w:val="212121"/>
          <w:sz w:val="24"/>
          <w:szCs w:val="24"/>
          <w:shd w:val="clear" w:color="auto" w:fill="FFFFFF"/>
        </w:rPr>
        <w:t>à</w:t>
      </w:r>
      <w:r w:rsidR="00EF00EB" w:rsidRPr="00382929">
        <w:rPr>
          <w:rFonts w:cs="Arial"/>
          <w:color w:val="212121"/>
          <w:sz w:val="24"/>
          <w:szCs w:val="24"/>
          <w:shd w:val="clear" w:color="auto" w:fill="FFFFFF"/>
        </w:rPr>
        <w:t xml:space="preserve"> cet atelier. Ainsi, il nous incombe de continuer le travail et faire la promotion de l’outil. Ce plan d’action vise à répondre aux faiblesses observées dans le cadre de la réponse humanitaire quant à l’application effective des notions transversales dont le genre et l’âge dans les projets, plans de travail des clusters et les documents stratégiques. Ce plan a pour objectif d’a</w:t>
      </w:r>
      <w:r w:rsidR="00594BDB" w:rsidRPr="00382929">
        <w:rPr>
          <w:rFonts w:cs="Arial"/>
          <w:color w:val="212121"/>
          <w:sz w:val="24"/>
          <w:szCs w:val="24"/>
          <w:shd w:val="clear" w:color="auto" w:fill="FFFFFF"/>
        </w:rPr>
        <w:t>méliorer et</w:t>
      </w:r>
      <w:r w:rsidR="00D37E5D" w:rsidRPr="00382929">
        <w:rPr>
          <w:rFonts w:cs="Arial"/>
          <w:color w:val="212121"/>
          <w:sz w:val="24"/>
          <w:szCs w:val="24"/>
          <w:shd w:val="clear" w:color="auto" w:fill="FFFFFF"/>
        </w:rPr>
        <w:t xml:space="preserve"> de</w:t>
      </w:r>
      <w:r w:rsidR="00594BDB" w:rsidRPr="00382929">
        <w:rPr>
          <w:rFonts w:cs="Arial"/>
          <w:color w:val="212121"/>
          <w:sz w:val="24"/>
          <w:szCs w:val="24"/>
          <w:shd w:val="clear" w:color="auto" w:fill="FFFFFF"/>
        </w:rPr>
        <w:t xml:space="preserve"> renforcer la compréhensi</w:t>
      </w:r>
      <w:r w:rsidR="00EF00EB" w:rsidRPr="00382929">
        <w:rPr>
          <w:rFonts w:cs="Arial"/>
          <w:color w:val="212121"/>
          <w:sz w:val="24"/>
          <w:szCs w:val="24"/>
          <w:shd w:val="clear" w:color="auto" w:fill="FFFFFF"/>
        </w:rPr>
        <w:t xml:space="preserve">on et l'utilisation </w:t>
      </w:r>
      <w:r w:rsidR="00A57C41" w:rsidRPr="00382929">
        <w:rPr>
          <w:rFonts w:cs="Arial"/>
          <w:color w:val="212121"/>
          <w:sz w:val="24"/>
          <w:szCs w:val="24"/>
          <w:shd w:val="clear" w:color="auto" w:fill="FFFFFF"/>
        </w:rPr>
        <w:t>MGA</w:t>
      </w:r>
      <w:r w:rsidR="00EF00EB" w:rsidRPr="00382929">
        <w:rPr>
          <w:rFonts w:cs="Arial"/>
          <w:color w:val="212121"/>
          <w:sz w:val="24"/>
          <w:szCs w:val="24"/>
          <w:shd w:val="clear" w:color="auto" w:fill="FFFFFF"/>
        </w:rPr>
        <w:t xml:space="preserve"> avec un accent sur </w:t>
      </w:r>
      <w:r w:rsidR="00594BDB" w:rsidRPr="00382929">
        <w:rPr>
          <w:rFonts w:cs="Arial"/>
          <w:color w:val="212121"/>
          <w:sz w:val="24"/>
          <w:szCs w:val="24"/>
          <w:shd w:val="clear" w:color="auto" w:fill="FFFFFF"/>
        </w:rPr>
        <w:t>l'approche AAP</w:t>
      </w:r>
      <w:r w:rsidR="00EF00EB" w:rsidRPr="00382929">
        <w:rPr>
          <w:rFonts w:cs="Arial"/>
          <w:color w:val="212121"/>
          <w:sz w:val="24"/>
          <w:szCs w:val="24"/>
          <w:shd w:val="clear" w:color="auto" w:fill="FFFFFF"/>
        </w:rPr>
        <w:t xml:space="preserve"> (redevabilité envers les populations affectées)</w:t>
      </w:r>
      <w:r w:rsidR="00594BDB" w:rsidRPr="00382929">
        <w:rPr>
          <w:rFonts w:cs="Arial"/>
          <w:color w:val="212121"/>
          <w:sz w:val="24"/>
          <w:szCs w:val="24"/>
          <w:shd w:val="clear" w:color="auto" w:fill="FFFFFF"/>
        </w:rPr>
        <w:t xml:space="preserve"> adaptée</w:t>
      </w:r>
      <w:r w:rsidR="00551E22" w:rsidRPr="00382929">
        <w:rPr>
          <w:rFonts w:cs="Arial"/>
          <w:color w:val="212121"/>
          <w:sz w:val="24"/>
          <w:szCs w:val="24"/>
          <w:shd w:val="clear" w:color="auto" w:fill="FFFFFF"/>
        </w:rPr>
        <w:t>.</w:t>
      </w:r>
      <w:r w:rsidR="00EF00EB" w:rsidRPr="00382929">
        <w:rPr>
          <w:rFonts w:cs="Arial"/>
          <w:color w:val="212121"/>
          <w:sz w:val="24"/>
          <w:szCs w:val="24"/>
          <w:shd w:val="clear" w:color="auto" w:fill="FFFFFF"/>
        </w:rPr>
        <w:t xml:space="preserve"> Il cible en particulier le</w:t>
      </w:r>
      <w:r w:rsidR="00551E22" w:rsidRPr="00382929">
        <w:rPr>
          <w:rFonts w:cs="Arial"/>
          <w:color w:val="212121"/>
          <w:sz w:val="24"/>
          <w:szCs w:val="24"/>
          <w:shd w:val="clear" w:color="auto" w:fill="FFFFFF"/>
        </w:rPr>
        <w:t xml:space="preserve"> Bureau de coordination du RC/</w:t>
      </w:r>
      <w:r w:rsidR="00042C35" w:rsidRPr="00382929">
        <w:rPr>
          <w:rFonts w:cs="Arial"/>
          <w:color w:val="212121"/>
          <w:sz w:val="24"/>
          <w:szCs w:val="24"/>
          <w:shd w:val="clear" w:color="auto" w:fill="FFFFFF"/>
        </w:rPr>
        <w:t>HC, le</w:t>
      </w:r>
      <w:r w:rsidR="00EF00EB" w:rsidRPr="00382929">
        <w:rPr>
          <w:rFonts w:cs="Arial"/>
          <w:color w:val="212121"/>
          <w:sz w:val="24"/>
          <w:szCs w:val="24"/>
          <w:shd w:val="clear" w:color="auto" w:fill="FFFFFF"/>
        </w:rPr>
        <w:t xml:space="preserve"> HCT, l’</w:t>
      </w:r>
      <w:r w:rsidR="00551E22" w:rsidRPr="00382929">
        <w:rPr>
          <w:rFonts w:cs="Arial"/>
          <w:color w:val="212121"/>
          <w:sz w:val="24"/>
          <w:szCs w:val="24"/>
          <w:shd w:val="clear" w:color="auto" w:fill="FFFFFF"/>
        </w:rPr>
        <w:t>ICC, les clusters, les organisations partenaires (</w:t>
      </w:r>
      <w:proofErr w:type="spellStart"/>
      <w:r w:rsidR="00551E22" w:rsidRPr="00382929">
        <w:rPr>
          <w:rFonts w:cs="Arial"/>
          <w:color w:val="212121"/>
          <w:sz w:val="24"/>
          <w:szCs w:val="24"/>
          <w:shd w:val="clear" w:color="auto" w:fill="FFFFFF"/>
        </w:rPr>
        <w:t>int’l</w:t>
      </w:r>
      <w:proofErr w:type="spellEnd"/>
      <w:r w:rsidR="00551E22" w:rsidRPr="00382929">
        <w:rPr>
          <w:rFonts w:cs="Arial"/>
          <w:color w:val="212121"/>
          <w:sz w:val="24"/>
          <w:szCs w:val="24"/>
          <w:shd w:val="clear" w:color="auto" w:fill="FFFFFF"/>
        </w:rPr>
        <w:t xml:space="preserve"> et </w:t>
      </w:r>
      <w:proofErr w:type="spellStart"/>
      <w:r w:rsidR="00551E22" w:rsidRPr="00382929">
        <w:rPr>
          <w:rFonts w:cs="Arial"/>
          <w:color w:val="212121"/>
          <w:sz w:val="24"/>
          <w:szCs w:val="24"/>
          <w:shd w:val="clear" w:color="auto" w:fill="FFFFFF"/>
        </w:rPr>
        <w:t>natl</w:t>
      </w:r>
      <w:proofErr w:type="spellEnd"/>
      <w:r w:rsidR="00551E22" w:rsidRPr="00382929">
        <w:rPr>
          <w:rFonts w:cs="Arial"/>
          <w:color w:val="212121"/>
          <w:sz w:val="24"/>
          <w:szCs w:val="24"/>
          <w:shd w:val="clear" w:color="auto" w:fill="FFFFFF"/>
        </w:rPr>
        <w:t>) des clusters, des ministères et délégations</w:t>
      </w:r>
      <w:r w:rsidR="00382929">
        <w:rPr>
          <w:rFonts w:cs="Arial"/>
          <w:color w:val="212121"/>
          <w:sz w:val="24"/>
          <w:szCs w:val="24"/>
          <w:shd w:val="clear" w:color="auto" w:fill="FFFFFF"/>
        </w:rPr>
        <w:t xml:space="preserve"> </w:t>
      </w:r>
      <w:proofErr w:type="spellStart"/>
      <w:r w:rsidR="00551E22" w:rsidRPr="00382929">
        <w:rPr>
          <w:rFonts w:cs="Arial"/>
          <w:color w:val="212121"/>
          <w:sz w:val="24"/>
          <w:szCs w:val="24"/>
          <w:shd w:val="clear" w:color="auto" w:fill="FFFFFF"/>
        </w:rPr>
        <w:t>co</w:t>
      </w:r>
      <w:proofErr w:type="spellEnd"/>
      <w:r w:rsidR="00551E22" w:rsidRPr="00382929">
        <w:rPr>
          <w:rFonts w:cs="Arial"/>
          <w:color w:val="212121"/>
          <w:sz w:val="24"/>
          <w:szCs w:val="24"/>
          <w:shd w:val="clear" w:color="auto" w:fill="FFFFFF"/>
        </w:rPr>
        <w:t xml:space="preserve">-lead des clusters, les donateurs, </w:t>
      </w:r>
      <w:r w:rsidR="00D37E5D" w:rsidRPr="00382929">
        <w:rPr>
          <w:rFonts w:cs="Arial"/>
          <w:color w:val="212121"/>
          <w:sz w:val="24"/>
          <w:szCs w:val="24"/>
          <w:shd w:val="clear" w:color="auto" w:fill="FFFFFF"/>
        </w:rPr>
        <w:t>les groupes thématiques</w:t>
      </w:r>
      <w:r w:rsidR="00551E22" w:rsidRPr="00382929">
        <w:rPr>
          <w:rFonts w:cs="Arial"/>
          <w:color w:val="212121"/>
          <w:sz w:val="24"/>
          <w:szCs w:val="24"/>
          <w:shd w:val="clear" w:color="auto" w:fill="FFFFFF"/>
        </w:rPr>
        <w:t xml:space="preserve"> PSEA genre.</w:t>
      </w:r>
    </w:p>
    <w:p w:rsidR="006B4CC5" w:rsidRPr="00382929" w:rsidRDefault="006B4CC5" w:rsidP="005E4841">
      <w:pPr>
        <w:ind w:left="567"/>
        <w:contextualSpacing/>
        <w:jc w:val="both"/>
        <w:rPr>
          <w:rFonts w:cs="Arial"/>
          <w:color w:val="212121"/>
          <w:sz w:val="24"/>
          <w:szCs w:val="24"/>
          <w:shd w:val="clear" w:color="auto" w:fill="FFFFFF"/>
        </w:rPr>
      </w:pPr>
    </w:p>
    <w:p w:rsidR="00A57C41" w:rsidRPr="00382929" w:rsidRDefault="00AE7B0D" w:rsidP="005E48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cs="Arial"/>
          <w:b/>
          <w:color w:val="212121"/>
          <w:sz w:val="24"/>
          <w:szCs w:val="24"/>
          <w:shd w:val="clear" w:color="auto" w:fill="FFFFFF"/>
        </w:rPr>
      </w:pPr>
      <w:r w:rsidRPr="00382929">
        <w:rPr>
          <w:rFonts w:cs="Arial"/>
          <w:b/>
          <w:color w:val="212121"/>
          <w:sz w:val="24"/>
          <w:szCs w:val="24"/>
          <w:shd w:val="clear" w:color="auto" w:fill="FFFFFF"/>
        </w:rPr>
        <w:tab/>
      </w:r>
    </w:p>
    <w:p w:rsidR="00D42953" w:rsidRPr="00382929" w:rsidRDefault="00D42953" w:rsidP="00D42953">
      <w:pPr>
        <w:rPr>
          <w:b/>
          <w:sz w:val="24"/>
          <w:szCs w:val="24"/>
        </w:rPr>
      </w:pPr>
      <w:r w:rsidRPr="00382929">
        <w:rPr>
          <w:b/>
          <w:sz w:val="24"/>
          <w:szCs w:val="24"/>
        </w:rPr>
        <w:t>Chronogramme d’activités</w:t>
      </w:r>
    </w:p>
    <w:tbl>
      <w:tblPr>
        <w:tblStyle w:val="Grilledutableau"/>
        <w:tblW w:w="16155" w:type="dxa"/>
        <w:tblInd w:w="-1139" w:type="dxa"/>
        <w:tblLayout w:type="fixed"/>
        <w:tblLook w:val="04A0" w:firstRow="1" w:lastRow="0" w:firstColumn="1" w:lastColumn="0" w:noHBand="0" w:noVBand="1"/>
      </w:tblPr>
      <w:tblGrid>
        <w:gridCol w:w="3115"/>
        <w:gridCol w:w="3103"/>
        <w:gridCol w:w="2868"/>
        <w:gridCol w:w="2220"/>
        <w:gridCol w:w="2586"/>
        <w:gridCol w:w="2263"/>
      </w:tblGrid>
      <w:tr w:rsidR="00D42953" w:rsidRPr="00382929" w:rsidTr="0072176C">
        <w:trPr>
          <w:trHeight w:val="777"/>
        </w:trPr>
        <w:tc>
          <w:tcPr>
            <w:tcW w:w="3115" w:type="dxa"/>
          </w:tcPr>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center"/>
              <w:rPr>
                <w:rFonts w:cs="Arial"/>
                <w:b/>
                <w:color w:val="212121"/>
                <w:sz w:val="24"/>
                <w:szCs w:val="24"/>
                <w:shd w:val="clear" w:color="auto" w:fill="FFFFFF"/>
              </w:rPr>
            </w:pPr>
            <w:r w:rsidRPr="00382929">
              <w:rPr>
                <w:rFonts w:cs="Arial"/>
                <w:b/>
                <w:color w:val="212121"/>
                <w:sz w:val="24"/>
                <w:szCs w:val="24"/>
                <w:shd w:val="clear" w:color="auto" w:fill="FFFFFF"/>
              </w:rPr>
              <w:t>Problèmes /But</w:t>
            </w:r>
          </w:p>
        </w:tc>
        <w:tc>
          <w:tcPr>
            <w:tcW w:w="3103" w:type="dxa"/>
          </w:tcPr>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center"/>
              <w:rPr>
                <w:rFonts w:cs="Arial"/>
                <w:b/>
                <w:color w:val="212121"/>
                <w:sz w:val="24"/>
                <w:szCs w:val="24"/>
                <w:shd w:val="clear" w:color="auto" w:fill="FFFFFF"/>
              </w:rPr>
            </w:pPr>
            <w:r w:rsidRPr="00382929">
              <w:rPr>
                <w:rFonts w:cs="Arial"/>
                <w:b/>
                <w:color w:val="212121"/>
                <w:sz w:val="24"/>
                <w:szCs w:val="24"/>
                <w:shd w:val="clear" w:color="auto" w:fill="FFFFFF"/>
              </w:rPr>
              <w:t>Activités</w:t>
            </w:r>
          </w:p>
        </w:tc>
        <w:tc>
          <w:tcPr>
            <w:tcW w:w="2868" w:type="dxa"/>
          </w:tcPr>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center"/>
              <w:rPr>
                <w:rFonts w:cs="Arial"/>
                <w:b/>
                <w:color w:val="212121"/>
                <w:sz w:val="24"/>
                <w:szCs w:val="24"/>
                <w:shd w:val="clear" w:color="auto" w:fill="FFFFFF"/>
              </w:rPr>
            </w:pPr>
            <w:r w:rsidRPr="00382929">
              <w:rPr>
                <w:rFonts w:cs="Arial"/>
                <w:b/>
                <w:color w:val="212121"/>
                <w:sz w:val="24"/>
                <w:szCs w:val="24"/>
                <w:shd w:val="clear" w:color="auto" w:fill="FFFFFF"/>
              </w:rPr>
              <w:t>QUI</w:t>
            </w:r>
          </w:p>
        </w:tc>
        <w:tc>
          <w:tcPr>
            <w:tcW w:w="2220" w:type="dxa"/>
          </w:tcPr>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center"/>
              <w:rPr>
                <w:rFonts w:cs="Arial"/>
                <w:b/>
                <w:color w:val="212121"/>
                <w:sz w:val="24"/>
                <w:szCs w:val="24"/>
                <w:shd w:val="clear" w:color="auto" w:fill="FFFFFF"/>
              </w:rPr>
            </w:pPr>
            <w:r w:rsidRPr="00382929">
              <w:rPr>
                <w:rFonts w:cs="Arial"/>
                <w:b/>
                <w:color w:val="212121"/>
                <w:sz w:val="24"/>
                <w:szCs w:val="24"/>
                <w:shd w:val="clear" w:color="auto" w:fill="FFFFFF"/>
              </w:rPr>
              <w:t>QUAND</w:t>
            </w:r>
          </w:p>
        </w:tc>
        <w:tc>
          <w:tcPr>
            <w:tcW w:w="2586" w:type="dxa"/>
          </w:tcPr>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center"/>
              <w:rPr>
                <w:rFonts w:cs="Arial"/>
                <w:b/>
                <w:color w:val="212121"/>
                <w:sz w:val="24"/>
                <w:szCs w:val="24"/>
                <w:shd w:val="clear" w:color="auto" w:fill="FFFFFF"/>
              </w:rPr>
            </w:pPr>
            <w:r w:rsidRPr="00382929">
              <w:rPr>
                <w:rFonts w:cs="Arial"/>
                <w:b/>
                <w:color w:val="212121"/>
                <w:sz w:val="24"/>
                <w:szCs w:val="24"/>
                <w:shd w:val="clear" w:color="auto" w:fill="FFFFFF"/>
              </w:rPr>
              <w:t>RESSOURCES</w:t>
            </w:r>
          </w:p>
        </w:tc>
        <w:tc>
          <w:tcPr>
            <w:tcW w:w="2263" w:type="dxa"/>
          </w:tcPr>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center"/>
              <w:rPr>
                <w:rFonts w:cs="Arial"/>
                <w:b/>
                <w:color w:val="212121"/>
                <w:sz w:val="24"/>
                <w:szCs w:val="24"/>
                <w:shd w:val="clear" w:color="auto" w:fill="FFFFFF"/>
              </w:rPr>
            </w:pPr>
            <w:r w:rsidRPr="00382929">
              <w:rPr>
                <w:rFonts w:cs="Arial"/>
                <w:b/>
                <w:color w:val="212121"/>
                <w:sz w:val="24"/>
                <w:szCs w:val="24"/>
                <w:shd w:val="clear" w:color="auto" w:fill="FFFFFF"/>
              </w:rPr>
              <w:t>Comment saurez-vous que c'est fait ?</w:t>
            </w:r>
          </w:p>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center"/>
              <w:rPr>
                <w:rFonts w:cs="Arial"/>
                <w:b/>
                <w:color w:val="212121"/>
                <w:sz w:val="24"/>
                <w:szCs w:val="24"/>
                <w:shd w:val="clear" w:color="auto" w:fill="FFFFFF"/>
              </w:rPr>
            </w:pPr>
          </w:p>
        </w:tc>
      </w:tr>
      <w:tr w:rsidR="00D42953" w:rsidRPr="00382929" w:rsidTr="0072176C">
        <w:trPr>
          <w:trHeight w:val="777"/>
        </w:trPr>
        <w:tc>
          <w:tcPr>
            <w:tcW w:w="3115" w:type="dxa"/>
          </w:tcPr>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r w:rsidRPr="00382929">
              <w:rPr>
                <w:rFonts w:cs="Arial"/>
                <w:color w:val="212121"/>
                <w:sz w:val="24"/>
                <w:szCs w:val="24"/>
                <w:shd w:val="clear" w:color="auto" w:fill="FFFFFF"/>
              </w:rPr>
              <w:t>Engager le RC/HC, l’ICC, le HCT, les donateurs, le groupe thématique genre dans la promotion et l’application du MGA au Tchad</w:t>
            </w:r>
          </w:p>
        </w:tc>
        <w:tc>
          <w:tcPr>
            <w:tcW w:w="3103" w:type="dxa"/>
          </w:tcPr>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r w:rsidRPr="00382929">
              <w:rPr>
                <w:rFonts w:cs="Arial"/>
                <w:color w:val="212121"/>
                <w:sz w:val="24"/>
                <w:szCs w:val="24"/>
                <w:shd w:val="clear" w:color="auto" w:fill="FFFFFF"/>
              </w:rPr>
              <w:t>Briefing sur l’atelier GENCAP</w:t>
            </w:r>
          </w:p>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p>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r w:rsidRPr="00382929">
              <w:rPr>
                <w:rFonts w:cs="Arial"/>
                <w:color w:val="212121"/>
                <w:sz w:val="24"/>
                <w:szCs w:val="24"/>
                <w:shd w:val="clear" w:color="auto" w:fill="FFFFFF"/>
              </w:rPr>
              <w:t xml:space="preserve">Demande de slot 15 </w:t>
            </w:r>
            <w:proofErr w:type="spellStart"/>
            <w:r w:rsidRPr="00382929">
              <w:rPr>
                <w:rFonts w:cs="Arial"/>
                <w:color w:val="212121"/>
                <w:sz w:val="24"/>
                <w:szCs w:val="24"/>
                <w:shd w:val="clear" w:color="auto" w:fill="FFFFFF"/>
              </w:rPr>
              <w:t>mns</w:t>
            </w:r>
            <w:proofErr w:type="spellEnd"/>
            <w:r w:rsidRPr="00382929">
              <w:rPr>
                <w:rFonts w:cs="Arial"/>
                <w:color w:val="212121"/>
                <w:sz w:val="24"/>
                <w:szCs w:val="24"/>
                <w:shd w:val="clear" w:color="auto" w:fill="FFFFFF"/>
              </w:rPr>
              <w:t xml:space="preserve"> dans les forums clusters / secteurs</w:t>
            </w:r>
          </w:p>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p>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r w:rsidRPr="00382929">
              <w:rPr>
                <w:rFonts w:cs="Arial"/>
                <w:color w:val="212121"/>
                <w:sz w:val="24"/>
                <w:szCs w:val="24"/>
                <w:shd w:val="clear" w:color="auto" w:fill="FFFFFF"/>
              </w:rPr>
              <w:t>Présentation du GAM à la réunion de l’ICC</w:t>
            </w:r>
          </w:p>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p>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r w:rsidRPr="00382929">
              <w:rPr>
                <w:rFonts w:cs="Arial"/>
                <w:color w:val="212121"/>
                <w:sz w:val="24"/>
                <w:szCs w:val="24"/>
                <w:shd w:val="clear" w:color="auto" w:fill="FFFFFF"/>
              </w:rPr>
              <w:t>Réunion bilatérale avec les coordinateurs de cluster</w:t>
            </w:r>
          </w:p>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p>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r w:rsidRPr="00382929">
              <w:rPr>
                <w:rFonts w:cs="Arial"/>
                <w:color w:val="212121"/>
                <w:sz w:val="24"/>
                <w:szCs w:val="24"/>
                <w:shd w:val="clear" w:color="auto" w:fill="FFFFFF"/>
              </w:rPr>
              <w:t>Discussion interne avec les points focaux genre et PSEA</w:t>
            </w:r>
          </w:p>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p>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r w:rsidRPr="00382929">
              <w:rPr>
                <w:rFonts w:cs="Arial"/>
                <w:color w:val="212121"/>
                <w:sz w:val="24"/>
                <w:szCs w:val="24"/>
                <w:shd w:val="clear" w:color="auto" w:fill="FFFFFF"/>
              </w:rPr>
              <w:t xml:space="preserve">Briefing de 20 </w:t>
            </w:r>
            <w:proofErr w:type="spellStart"/>
            <w:r w:rsidRPr="00382929">
              <w:rPr>
                <w:rFonts w:cs="Arial"/>
                <w:color w:val="212121"/>
                <w:sz w:val="24"/>
                <w:szCs w:val="24"/>
                <w:shd w:val="clear" w:color="auto" w:fill="FFFFFF"/>
              </w:rPr>
              <w:t>mns</w:t>
            </w:r>
            <w:proofErr w:type="spellEnd"/>
            <w:r w:rsidRPr="00382929">
              <w:rPr>
                <w:rFonts w:cs="Arial"/>
                <w:color w:val="212121"/>
                <w:sz w:val="24"/>
                <w:szCs w:val="24"/>
                <w:shd w:val="clear" w:color="auto" w:fill="FFFFFF"/>
              </w:rPr>
              <w:t xml:space="preserve"> dans la réunion du groupe Genre</w:t>
            </w:r>
          </w:p>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p>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p>
        </w:tc>
        <w:tc>
          <w:tcPr>
            <w:tcW w:w="2868" w:type="dxa"/>
          </w:tcPr>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r w:rsidRPr="00382929">
              <w:rPr>
                <w:rFonts w:cs="Arial"/>
                <w:color w:val="212121"/>
                <w:sz w:val="24"/>
                <w:szCs w:val="24"/>
                <w:shd w:val="clear" w:color="auto" w:fill="FFFFFF"/>
              </w:rPr>
              <w:lastRenderedPageBreak/>
              <w:t xml:space="preserve">OCHA, UNFPA, WFP, </w:t>
            </w:r>
            <w:proofErr w:type="spellStart"/>
            <w:r w:rsidRPr="00382929">
              <w:rPr>
                <w:rFonts w:cs="Arial"/>
                <w:color w:val="212121"/>
                <w:sz w:val="24"/>
                <w:szCs w:val="24"/>
                <w:shd w:val="clear" w:color="auto" w:fill="FFFFFF"/>
              </w:rPr>
              <w:t>Gender</w:t>
            </w:r>
            <w:proofErr w:type="spellEnd"/>
            <w:r w:rsidRPr="00382929">
              <w:rPr>
                <w:rFonts w:cs="Arial"/>
                <w:color w:val="212121"/>
                <w:sz w:val="24"/>
                <w:szCs w:val="24"/>
                <w:shd w:val="clear" w:color="auto" w:fill="FFFFFF"/>
              </w:rPr>
              <w:t xml:space="preserve"> team group, Agences du SNU,</w:t>
            </w:r>
          </w:p>
        </w:tc>
        <w:tc>
          <w:tcPr>
            <w:tcW w:w="2220" w:type="dxa"/>
          </w:tcPr>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r w:rsidRPr="00382929">
              <w:rPr>
                <w:rFonts w:cs="Arial"/>
                <w:color w:val="212121"/>
                <w:sz w:val="24"/>
                <w:szCs w:val="24"/>
                <w:shd w:val="clear" w:color="auto" w:fill="FFFFFF"/>
              </w:rPr>
              <w:t>Mi- ao</w:t>
            </w:r>
            <w:r>
              <w:rPr>
                <w:rFonts w:cs="Arial"/>
                <w:color w:val="212121"/>
                <w:sz w:val="24"/>
                <w:szCs w:val="24"/>
                <w:shd w:val="clear" w:color="auto" w:fill="FFFFFF"/>
              </w:rPr>
              <w:t>û</w:t>
            </w:r>
            <w:r w:rsidRPr="00382929">
              <w:rPr>
                <w:rFonts w:cs="Arial"/>
                <w:color w:val="212121"/>
                <w:sz w:val="24"/>
                <w:szCs w:val="24"/>
                <w:shd w:val="clear" w:color="auto" w:fill="FFFFFF"/>
              </w:rPr>
              <w:t>t 2018</w:t>
            </w:r>
          </w:p>
        </w:tc>
        <w:tc>
          <w:tcPr>
            <w:tcW w:w="2586" w:type="dxa"/>
          </w:tcPr>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r w:rsidRPr="00382929">
              <w:rPr>
                <w:rFonts w:cs="Arial"/>
                <w:color w:val="212121"/>
                <w:sz w:val="24"/>
                <w:szCs w:val="24"/>
                <w:shd w:val="clear" w:color="auto" w:fill="FFFFFF"/>
              </w:rPr>
              <w:t>Brève Présentation</w:t>
            </w:r>
          </w:p>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p>
        </w:tc>
        <w:tc>
          <w:tcPr>
            <w:tcW w:w="2263" w:type="dxa"/>
          </w:tcPr>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r w:rsidRPr="00382929">
              <w:rPr>
                <w:rFonts w:cs="Arial"/>
                <w:color w:val="212121"/>
                <w:sz w:val="24"/>
                <w:szCs w:val="24"/>
                <w:shd w:val="clear" w:color="auto" w:fill="FFFFFF"/>
              </w:rPr>
              <w:t>Minutes of meetings</w:t>
            </w:r>
          </w:p>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p>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p>
        </w:tc>
      </w:tr>
      <w:tr w:rsidR="00D42953" w:rsidRPr="00382929" w:rsidTr="0072176C">
        <w:trPr>
          <w:trHeight w:val="777"/>
        </w:trPr>
        <w:tc>
          <w:tcPr>
            <w:tcW w:w="3115" w:type="dxa"/>
          </w:tcPr>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r w:rsidRPr="00382929">
              <w:rPr>
                <w:rFonts w:cs="Arial"/>
                <w:color w:val="212121"/>
                <w:sz w:val="24"/>
                <w:szCs w:val="24"/>
                <w:shd w:val="clear" w:color="auto" w:fill="FFFFFF"/>
              </w:rPr>
              <w:t>Soutenir OCHA dans la prise en compte du MGA pour les projets CERF + HNO+HRP+ PMR</w:t>
            </w:r>
          </w:p>
        </w:tc>
        <w:tc>
          <w:tcPr>
            <w:tcW w:w="3103" w:type="dxa"/>
          </w:tcPr>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r w:rsidRPr="00382929">
              <w:rPr>
                <w:rFonts w:cs="Arial"/>
                <w:color w:val="212121"/>
                <w:sz w:val="24"/>
                <w:szCs w:val="24"/>
                <w:shd w:val="clear" w:color="auto" w:fill="FFFFFF"/>
              </w:rPr>
              <w:t xml:space="preserve">Discussion continue avec les points focaux thématiques d’OCHA </w:t>
            </w:r>
          </w:p>
        </w:tc>
        <w:tc>
          <w:tcPr>
            <w:tcW w:w="2868" w:type="dxa"/>
          </w:tcPr>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r w:rsidRPr="00382929">
              <w:rPr>
                <w:rFonts w:cs="Arial"/>
                <w:color w:val="212121"/>
                <w:sz w:val="24"/>
                <w:szCs w:val="24"/>
                <w:shd w:val="clear" w:color="auto" w:fill="FFFFFF"/>
              </w:rPr>
              <w:t>Collègues d’OCHA</w:t>
            </w:r>
          </w:p>
        </w:tc>
        <w:tc>
          <w:tcPr>
            <w:tcW w:w="2220" w:type="dxa"/>
          </w:tcPr>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r w:rsidRPr="00382929">
              <w:rPr>
                <w:rFonts w:cs="Arial"/>
                <w:color w:val="212121"/>
                <w:sz w:val="24"/>
                <w:szCs w:val="24"/>
                <w:shd w:val="clear" w:color="auto" w:fill="FFFFFF"/>
              </w:rPr>
              <w:t>En continue</w:t>
            </w:r>
          </w:p>
        </w:tc>
        <w:tc>
          <w:tcPr>
            <w:tcW w:w="2586" w:type="dxa"/>
          </w:tcPr>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p>
        </w:tc>
        <w:tc>
          <w:tcPr>
            <w:tcW w:w="2263" w:type="dxa"/>
          </w:tcPr>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p>
        </w:tc>
      </w:tr>
      <w:tr w:rsidR="00D42953" w:rsidRPr="00382929" w:rsidTr="0072176C">
        <w:trPr>
          <w:trHeight w:val="777"/>
        </w:trPr>
        <w:tc>
          <w:tcPr>
            <w:tcW w:w="3115" w:type="dxa"/>
          </w:tcPr>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r w:rsidRPr="00382929">
              <w:rPr>
                <w:rFonts w:cs="Arial"/>
                <w:color w:val="212121"/>
                <w:sz w:val="24"/>
                <w:szCs w:val="24"/>
                <w:shd w:val="clear" w:color="auto" w:fill="FFFFFF"/>
              </w:rPr>
              <w:t>Processus HPC et révision HRP</w:t>
            </w:r>
            <w:r w:rsidR="004A7B9A">
              <w:rPr>
                <w:rFonts w:cs="Arial"/>
                <w:color w:val="212121"/>
                <w:sz w:val="24"/>
                <w:szCs w:val="24"/>
                <w:shd w:val="clear" w:color="auto" w:fill="FFFFFF"/>
              </w:rPr>
              <w:t> </w:t>
            </w:r>
          </w:p>
        </w:tc>
        <w:tc>
          <w:tcPr>
            <w:tcW w:w="3103" w:type="dxa"/>
          </w:tcPr>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r w:rsidRPr="00382929">
              <w:rPr>
                <w:rFonts w:cs="Arial"/>
                <w:color w:val="212121"/>
                <w:sz w:val="24"/>
                <w:szCs w:val="24"/>
                <w:shd w:val="clear" w:color="auto" w:fill="FFFFFF"/>
              </w:rPr>
              <w:br/>
              <w:t>Accompagnement d’OCHA et des clusters dans l'utilisation du MGA</w:t>
            </w:r>
          </w:p>
        </w:tc>
        <w:tc>
          <w:tcPr>
            <w:tcW w:w="2868" w:type="dxa"/>
          </w:tcPr>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lang w:val="en-US"/>
              </w:rPr>
            </w:pPr>
            <w:r w:rsidRPr="00382929">
              <w:rPr>
                <w:rFonts w:cs="Arial"/>
                <w:color w:val="212121"/>
                <w:sz w:val="24"/>
                <w:szCs w:val="24"/>
                <w:shd w:val="clear" w:color="auto" w:fill="FFFFFF"/>
                <w:lang w:val="en-US"/>
              </w:rPr>
              <w:t xml:space="preserve">Cluster coordinators and members, </w:t>
            </w:r>
          </w:p>
        </w:tc>
        <w:tc>
          <w:tcPr>
            <w:tcW w:w="2220" w:type="dxa"/>
          </w:tcPr>
          <w:p w:rsidR="00D42953" w:rsidRPr="00382929" w:rsidRDefault="004A7B9A"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r>
              <w:rPr>
                <w:rFonts w:cs="Arial"/>
                <w:color w:val="212121"/>
                <w:sz w:val="24"/>
                <w:szCs w:val="24"/>
                <w:shd w:val="clear" w:color="auto" w:fill="FFFFFF"/>
              </w:rPr>
              <w:t>Début septembre</w:t>
            </w:r>
          </w:p>
        </w:tc>
        <w:tc>
          <w:tcPr>
            <w:tcW w:w="2586" w:type="dxa"/>
          </w:tcPr>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color w:val="212121"/>
                <w:sz w:val="24"/>
                <w:szCs w:val="24"/>
                <w:shd w:val="clear" w:color="auto" w:fill="FFFFFF"/>
              </w:rPr>
            </w:pPr>
            <w:r w:rsidRPr="00382929">
              <w:rPr>
                <w:rFonts w:cs="Arial"/>
                <w:color w:val="212121"/>
                <w:sz w:val="24"/>
                <w:szCs w:val="24"/>
                <w:shd w:val="clear" w:color="auto" w:fill="FFFFFF"/>
              </w:rPr>
              <w:t xml:space="preserve"> </w:t>
            </w:r>
            <w:proofErr w:type="gramStart"/>
            <w:r w:rsidRPr="00382929">
              <w:rPr>
                <w:rFonts w:cs="Arial"/>
                <w:color w:val="212121"/>
                <w:sz w:val="24"/>
                <w:szCs w:val="24"/>
                <w:shd w:val="clear" w:color="auto" w:fill="FFFFFF"/>
              </w:rPr>
              <w:t xml:space="preserve">MGA  </w:t>
            </w:r>
            <w:proofErr w:type="spellStart"/>
            <w:r w:rsidRPr="00382929">
              <w:rPr>
                <w:rFonts w:cs="Arial"/>
                <w:color w:val="212121"/>
                <w:sz w:val="24"/>
                <w:szCs w:val="24"/>
                <w:shd w:val="clear" w:color="auto" w:fill="FFFFFF"/>
              </w:rPr>
              <w:t>tool</w:t>
            </w:r>
            <w:proofErr w:type="spellEnd"/>
            <w:proofErr w:type="gramEnd"/>
          </w:p>
        </w:tc>
        <w:tc>
          <w:tcPr>
            <w:tcW w:w="2263" w:type="dxa"/>
          </w:tcPr>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p>
        </w:tc>
      </w:tr>
      <w:tr w:rsidR="00D42953" w:rsidRPr="00382929" w:rsidTr="0072176C">
        <w:trPr>
          <w:trHeight w:val="777"/>
        </w:trPr>
        <w:tc>
          <w:tcPr>
            <w:tcW w:w="3115" w:type="dxa"/>
          </w:tcPr>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p>
        </w:tc>
        <w:tc>
          <w:tcPr>
            <w:tcW w:w="3103" w:type="dxa"/>
          </w:tcPr>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p>
        </w:tc>
        <w:tc>
          <w:tcPr>
            <w:tcW w:w="2868" w:type="dxa"/>
          </w:tcPr>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p>
        </w:tc>
        <w:tc>
          <w:tcPr>
            <w:tcW w:w="2220" w:type="dxa"/>
          </w:tcPr>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p>
        </w:tc>
        <w:tc>
          <w:tcPr>
            <w:tcW w:w="2586" w:type="dxa"/>
          </w:tcPr>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p>
        </w:tc>
        <w:tc>
          <w:tcPr>
            <w:tcW w:w="2263" w:type="dxa"/>
          </w:tcPr>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p>
        </w:tc>
      </w:tr>
      <w:tr w:rsidR="00D42953" w:rsidRPr="00382929" w:rsidTr="0072176C">
        <w:trPr>
          <w:trHeight w:val="777"/>
        </w:trPr>
        <w:tc>
          <w:tcPr>
            <w:tcW w:w="3115" w:type="dxa"/>
          </w:tcPr>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r w:rsidRPr="00382929">
              <w:rPr>
                <w:rFonts w:cs="Arial"/>
                <w:color w:val="212121"/>
                <w:sz w:val="24"/>
                <w:szCs w:val="24"/>
                <w:shd w:val="clear" w:color="auto" w:fill="FFFFFF"/>
              </w:rPr>
              <w:t>Assurer l’intégration du MGA dans les stratégies, les actions et le monitoring des activités des clusters</w:t>
            </w:r>
          </w:p>
        </w:tc>
        <w:tc>
          <w:tcPr>
            <w:tcW w:w="3103" w:type="dxa"/>
          </w:tcPr>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r w:rsidRPr="00382929">
              <w:rPr>
                <w:rFonts w:cs="Arial"/>
                <w:color w:val="212121"/>
                <w:sz w:val="24"/>
                <w:szCs w:val="24"/>
                <w:shd w:val="clear" w:color="auto" w:fill="FFFFFF"/>
              </w:rPr>
              <w:t>Session d’orientation sur le MGA au profit des clusters au niveau national et régional</w:t>
            </w:r>
          </w:p>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p>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p>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p>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p>
        </w:tc>
        <w:tc>
          <w:tcPr>
            <w:tcW w:w="2868" w:type="dxa"/>
          </w:tcPr>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r w:rsidRPr="00382929">
              <w:rPr>
                <w:rFonts w:cs="Arial"/>
                <w:color w:val="212121"/>
                <w:sz w:val="24"/>
                <w:szCs w:val="24"/>
                <w:shd w:val="clear" w:color="auto" w:fill="FFFFFF"/>
              </w:rPr>
              <w:t>Coordonnateurs de secteurs/clusters, points focaux genre et PSEA, représentant</w:t>
            </w:r>
          </w:p>
        </w:tc>
        <w:tc>
          <w:tcPr>
            <w:tcW w:w="2220" w:type="dxa"/>
          </w:tcPr>
          <w:p w:rsidR="00D42953"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r w:rsidRPr="00382929">
              <w:rPr>
                <w:rFonts w:cs="Arial"/>
                <w:color w:val="212121"/>
                <w:sz w:val="24"/>
                <w:szCs w:val="24"/>
                <w:shd w:val="clear" w:color="auto" w:fill="FFFFFF"/>
              </w:rPr>
              <w:t>Tout au long du processus HPC Aout-décembre</w:t>
            </w:r>
          </w:p>
          <w:p w:rsidR="00B15D8D" w:rsidRDefault="00B15D8D"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p>
          <w:p w:rsidR="00B15D8D" w:rsidRPr="00382929" w:rsidRDefault="00B15D8D"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r>
              <w:rPr>
                <w:rFonts w:cs="Arial"/>
                <w:color w:val="212121"/>
                <w:sz w:val="24"/>
                <w:szCs w:val="24"/>
                <w:shd w:val="clear" w:color="auto" w:fill="FFFFFF"/>
              </w:rPr>
              <w:t>Un mini atelier sera organisé début septembre</w:t>
            </w:r>
            <w:bookmarkStart w:id="0" w:name="_GoBack"/>
            <w:bookmarkEnd w:id="0"/>
          </w:p>
        </w:tc>
        <w:tc>
          <w:tcPr>
            <w:tcW w:w="2586" w:type="dxa"/>
          </w:tcPr>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r w:rsidRPr="00382929">
              <w:rPr>
                <w:rFonts w:cs="Arial"/>
                <w:color w:val="212121"/>
                <w:sz w:val="24"/>
                <w:szCs w:val="24"/>
                <w:shd w:val="clear" w:color="auto" w:fill="FFFFFF"/>
              </w:rPr>
              <w:t>Présentation et discussion</w:t>
            </w:r>
          </w:p>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p>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r w:rsidRPr="00382929">
              <w:rPr>
                <w:rFonts w:cs="Arial"/>
                <w:color w:val="212121"/>
                <w:sz w:val="24"/>
                <w:szCs w:val="24"/>
                <w:shd w:val="clear" w:color="auto" w:fill="FFFFFF"/>
              </w:rPr>
              <w:t>Outil de la formation en MGA</w:t>
            </w:r>
          </w:p>
        </w:tc>
        <w:tc>
          <w:tcPr>
            <w:tcW w:w="2263" w:type="dxa"/>
          </w:tcPr>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r w:rsidRPr="00382929">
              <w:rPr>
                <w:rFonts w:cs="Arial"/>
                <w:color w:val="212121"/>
                <w:sz w:val="24"/>
                <w:szCs w:val="24"/>
                <w:shd w:val="clear" w:color="auto" w:fill="FFFFFF"/>
              </w:rPr>
              <w:br/>
              <w:t xml:space="preserve">Liste de présence des participants-tes </w:t>
            </w:r>
          </w:p>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p>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r w:rsidRPr="00382929">
              <w:rPr>
                <w:rFonts w:cs="Arial"/>
                <w:color w:val="212121"/>
                <w:sz w:val="24"/>
                <w:szCs w:val="24"/>
                <w:shd w:val="clear" w:color="auto" w:fill="FFFFFF"/>
              </w:rPr>
              <w:t xml:space="preserve">Rapports de session </w:t>
            </w:r>
          </w:p>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p>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r w:rsidRPr="00382929">
              <w:rPr>
                <w:rFonts w:cs="Arial"/>
                <w:color w:val="212121"/>
                <w:sz w:val="24"/>
                <w:szCs w:val="24"/>
                <w:shd w:val="clear" w:color="auto" w:fill="FFFFFF"/>
              </w:rPr>
              <w:t xml:space="preserve">Présence d'analyse de genre et d'âge dans le </w:t>
            </w:r>
            <w:proofErr w:type="gramStart"/>
            <w:r w:rsidRPr="00382929">
              <w:rPr>
                <w:rFonts w:cs="Arial"/>
                <w:color w:val="212121"/>
                <w:sz w:val="24"/>
                <w:szCs w:val="24"/>
                <w:shd w:val="clear" w:color="auto" w:fill="FFFFFF"/>
              </w:rPr>
              <w:t>HNO  et</w:t>
            </w:r>
            <w:proofErr w:type="gramEnd"/>
            <w:r w:rsidRPr="00382929">
              <w:rPr>
                <w:rFonts w:cs="Arial"/>
                <w:color w:val="212121"/>
                <w:sz w:val="24"/>
                <w:szCs w:val="24"/>
                <w:shd w:val="clear" w:color="auto" w:fill="FFFFFF"/>
              </w:rPr>
              <w:t xml:space="preserve"> HRP</w:t>
            </w:r>
          </w:p>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p>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r w:rsidRPr="00382929">
              <w:rPr>
                <w:rFonts w:cs="Arial"/>
                <w:color w:val="212121"/>
                <w:sz w:val="24"/>
                <w:szCs w:val="24"/>
                <w:shd w:val="clear" w:color="auto" w:fill="FFFFFF"/>
              </w:rPr>
              <w:lastRenderedPageBreak/>
              <w:t>Les clusters ont une stratégie et un plan intégrant les notions genre et de l'âge</w:t>
            </w:r>
          </w:p>
        </w:tc>
      </w:tr>
      <w:tr w:rsidR="00D42953" w:rsidRPr="00382929" w:rsidTr="0072176C">
        <w:trPr>
          <w:trHeight w:val="777"/>
        </w:trPr>
        <w:tc>
          <w:tcPr>
            <w:tcW w:w="3115" w:type="dxa"/>
          </w:tcPr>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r w:rsidRPr="00382929">
              <w:rPr>
                <w:rFonts w:cs="Arial"/>
                <w:color w:val="212121"/>
                <w:sz w:val="24"/>
                <w:szCs w:val="24"/>
                <w:shd w:val="clear" w:color="auto" w:fill="FFFFFF"/>
              </w:rPr>
              <w:lastRenderedPageBreak/>
              <w:t xml:space="preserve">Familiariser les partenaires des </w:t>
            </w:r>
            <w:proofErr w:type="spellStart"/>
            <w:r w:rsidRPr="00382929">
              <w:rPr>
                <w:rFonts w:cs="Arial"/>
                <w:color w:val="212121"/>
                <w:sz w:val="24"/>
                <w:szCs w:val="24"/>
                <w:shd w:val="clear" w:color="auto" w:fill="FFFFFF"/>
              </w:rPr>
              <w:t>ONGs</w:t>
            </w:r>
            <w:proofErr w:type="spellEnd"/>
            <w:r w:rsidRPr="00382929">
              <w:rPr>
                <w:rFonts w:cs="Arial"/>
                <w:color w:val="212121"/>
                <w:sz w:val="24"/>
                <w:szCs w:val="24"/>
                <w:shd w:val="clear" w:color="auto" w:fill="FFFFFF"/>
              </w:rPr>
              <w:t xml:space="preserve"> internationales et locales à l’utilisation du MGA </w:t>
            </w:r>
          </w:p>
        </w:tc>
        <w:tc>
          <w:tcPr>
            <w:tcW w:w="3103" w:type="dxa"/>
          </w:tcPr>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lang w:val="en-US"/>
              </w:rPr>
            </w:pPr>
            <w:r w:rsidRPr="00382929">
              <w:rPr>
                <w:rFonts w:cs="Arial"/>
                <w:color w:val="212121"/>
                <w:sz w:val="24"/>
                <w:szCs w:val="24"/>
                <w:shd w:val="clear" w:color="auto" w:fill="FFFFFF"/>
                <w:lang w:val="en-US"/>
              </w:rPr>
              <w:t xml:space="preserve">Session </w:t>
            </w:r>
            <w:proofErr w:type="spellStart"/>
            <w:r w:rsidRPr="00382929">
              <w:rPr>
                <w:rFonts w:cs="Arial"/>
                <w:color w:val="212121"/>
                <w:sz w:val="24"/>
                <w:szCs w:val="24"/>
                <w:shd w:val="clear" w:color="auto" w:fill="FFFFFF"/>
                <w:lang w:val="en-US"/>
              </w:rPr>
              <w:t>d’orientation</w:t>
            </w:r>
            <w:proofErr w:type="spellEnd"/>
          </w:p>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lang w:val="en-US"/>
              </w:rPr>
            </w:pPr>
          </w:p>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lang w:val="en-US"/>
              </w:rPr>
            </w:pPr>
            <w:r w:rsidRPr="00382929">
              <w:rPr>
                <w:rFonts w:cs="Arial"/>
                <w:color w:val="212121"/>
                <w:sz w:val="24"/>
                <w:szCs w:val="24"/>
                <w:shd w:val="clear" w:color="auto" w:fill="FFFFFF"/>
                <w:lang w:val="en-US"/>
              </w:rPr>
              <w:t>One and one capacity building</w:t>
            </w:r>
          </w:p>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lang w:val="en-US"/>
              </w:rPr>
            </w:pPr>
          </w:p>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r w:rsidRPr="00382929">
              <w:rPr>
                <w:rFonts w:cs="Arial"/>
                <w:color w:val="212121"/>
                <w:sz w:val="24"/>
                <w:szCs w:val="24"/>
                <w:shd w:val="clear" w:color="auto" w:fill="FFFFFF"/>
              </w:rPr>
              <w:t>Réunions bilatérales avec des partenaires pour défendre et soutenir la compréhension du GAM</w:t>
            </w:r>
          </w:p>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p>
        </w:tc>
        <w:tc>
          <w:tcPr>
            <w:tcW w:w="2868" w:type="dxa"/>
          </w:tcPr>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r w:rsidRPr="00382929">
              <w:rPr>
                <w:rFonts w:cs="Arial"/>
                <w:color w:val="212121"/>
                <w:sz w:val="24"/>
                <w:szCs w:val="24"/>
                <w:shd w:val="clear" w:color="auto" w:fill="FFFFFF"/>
              </w:rPr>
              <w:t xml:space="preserve">Les organisations à l’Est du Tchad et ensuite l’expansion dans les autres régions </w:t>
            </w:r>
          </w:p>
        </w:tc>
        <w:tc>
          <w:tcPr>
            <w:tcW w:w="2220" w:type="dxa"/>
          </w:tcPr>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r w:rsidRPr="00382929">
              <w:rPr>
                <w:rFonts w:cs="Arial"/>
                <w:color w:val="212121"/>
                <w:sz w:val="24"/>
                <w:szCs w:val="24"/>
                <w:shd w:val="clear" w:color="auto" w:fill="FFFFFF"/>
              </w:rPr>
              <w:t>Octobre-décembre</w:t>
            </w:r>
          </w:p>
        </w:tc>
        <w:tc>
          <w:tcPr>
            <w:tcW w:w="2586" w:type="dxa"/>
          </w:tcPr>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r w:rsidRPr="00382929">
              <w:rPr>
                <w:rFonts w:cs="Arial"/>
                <w:color w:val="212121"/>
                <w:sz w:val="24"/>
                <w:szCs w:val="24"/>
                <w:shd w:val="clear" w:color="auto" w:fill="FFFFFF"/>
              </w:rPr>
              <w:t xml:space="preserve">MAG et GIHA </w:t>
            </w:r>
          </w:p>
        </w:tc>
        <w:tc>
          <w:tcPr>
            <w:tcW w:w="2263" w:type="dxa"/>
          </w:tcPr>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r w:rsidRPr="00382929">
              <w:rPr>
                <w:rFonts w:cs="Arial"/>
                <w:color w:val="212121"/>
                <w:sz w:val="24"/>
                <w:szCs w:val="24"/>
                <w:shd w:val="clear" w:color="auto" w:fill="FFFFFF"/>
              </w:rPr>
              <w:t>Messages clés définis</w:t>
            </w:r>
          </w:p>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p>
        </w:tc>
      </w:tr>
      <w:tr w:rsidR="00D42953" w:rsidRPr="00382929" w:rsidTr="0072176C">
        <w:trPr>
          <w:trHeight w:val="777"/>
        </w:trPr>
        <w:tc>
          <w:tcPr>
            <w:tcW w:w="3115" w:type="dxa"/>
          </w:tcPr>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p>
        </w:tc>
        <w:tc>
          <w:tcPr>
            <w:tcW w:w="3103" w:type="dxa"/>
          </w:tcPr>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p>
        </w:tc>
        <w:tc>
          <w:tcPr>
            <w:tcW w:w="2868" w:type="dxa"/>
          </w:tcPr>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lang w:val="en-US"/>
              </w:rPr>
            </w:pPr>
          </w:p>
        </w:tc>
        <w:tc>
          <w:tcPr>
            <w:tcW w:w="2220" w:type="dxa"/>
          </w:tcPr>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p>
        </w:tc>
        <w:tc>
          <w:tcPr>
            <w:tcW w:w="2586" w:type="dxa"/>
          </w:tcPr>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p>
        </w:tc>
        <w:tc>
          <w:tcPr>
            <w:tcW w:w="2263" w:type="dxa"/>
          </w:tcPr>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p>
        </w:tc>
      </w:tr>
      <w:tr w:rsidR="00D42953" w:rsidRPr="00382929" w:rsidTr="0072176C">
        <w:trPr>
          <w:trHeight w:val="777"/>
        </w:trPr>
        <w:tc>
          <w:tcPr>
            <w:tcW w:w="3115" w:type="dxa"/>
          </w:tcPr>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r w:rsidRPr="00382929">
              <w:rPr>
                <w:rFonts w:cs="Arial"/>
                <w:color w:val="212121"/>
                <w:sz w:val="24"/>
                <w:szCs w:val="24"/>
                <w:shd w:val="clear" w:color="auto" w:fill="FFFFFF"/>
              </w:rPr>
              <w:t>Sensibilisation du personnel d’OCHA</w:t>
            </w:r>
          </w:p>
        </w:tc>
        <w:tc>
          <w:tcPr>
            <w:tcW w:w="3103" w:type="dxa"/>
          </w:tcPr>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r w:rsidRPr="00382929">
              <w:rPr>
                <w:rFonts w:cs="Arial"/>
                <w:color w:val="212121"/>
                <w:sz w:val="24"/>
                <w:szCs w:val="24"/>
                <w:shd w:val="clear" w:color="auto" w:fill="FFFFFF"/>
              </w:rPr>
              <w:t xml:space="preserve">Session d’information sur le MGA ciblant les </w:t>
            </w:r>
            <w:proofErr w:type="spellStart"/>
            <w:r w:rsidRPr="00382929">
              <w:rPr>
                <w:rFonts w:cs="Arial"/>
                <w:color w:val="212121"/>
                <w:sz w:val="24"/>
                <w:szCs w:val="24"/>
                <w:shd w:val="clear" w:color="auto" w:fill="FFFFFF"/>
              </w:rPr>
              <w:t>unites</w:t>
            </w:r>
            <w:proofErr w:type="spellEnd"/>
            <w:r w:rsidRPr="00382929">
              <w:rPr>
                <w:rFonts w:cs="Arial"/>
                <w:color w:val="212121"/>
                <w:sz w:val="24"/>
                <w:szCs w:val="24"/>
                <w:shd w:val="clear" w:color="auto" w:fill="FFFFFF"/>
              </w:rPr>
              <w:t xml:space="preserve"> de coordination, l’information et les sous-bureaux</w:t>
            </w:r>
          </w:p>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p>
        </w:tc>
        <w:tc>
          <w:tcPr>
            <w:tcW w:w="2868" w:type="dxa"/>
          </w:tcPr>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r w:rsidRPr="00382929">
              <w:rPr>
                <w:rFonts w:cs="Arial"/>
                <w:color w:val="212121"/>
                <w:sz w:val="24"/>
                <w:szCs w:val="24"/>
                <w:shd w:val="clear" w:color="auto" w:fill="FFFFFF"/>
              </w:rPr>
              <w:t>OCHA staff</w:t>
            </w:r>
          </w:p>
        </w:tc>
        <w:tc>
          <w:tcPr>
            <w:tcW w:w="2220" w:type="dxa"/>
          </w:tcPr>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r w:rsidRPr="00382929">
              <w:rPr>
                <w:rFonts w:cs="Arial"/>
                <w:color w:val="212121"/>
                <w:sz w:val="24"/>
                <w:szCs w:val="24"/>
                <w:shd w:val="clear" w:color="auto" w:fill="FFFFFF"/>
              </w:rPr>
              <w:t>En continue</w:t>
            </w:r>
          </w:p>
        </w:tc>
        <w:tc>
          <w:tcPr>
            <w:tcW w:w="2586" w:type="dxa"/>
          </w:tcPr>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p>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r w:rsidRPr="00382929">
              <w:rPr>
                <w:rFonts w:cs="Arial"/>
                <w:color w:val="212121"/>
                <w:sz w:val="24"/>
                <w:szCs w:val="24"/>
                <w:shd w:val="clear" w:color="auto" w:fill="FFFFFF"/>
              </w:rPr>
              <w:t>Outils MGA</w:t>
            </w:r>
          </w:p>
        </w:tc>
        <w:tc>
          <w:tcPr>
            <w:tcW w:w="2263" w:type="dxa"/>
          </w:tcPr>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r w:rsidRPr="00382929">
              <w:rPr>
                <w:rFonts w:cs="Arial"/>
                <w:color w:val="212121"/>
                <w:sz w:val="24"/>
                <w:szCs w:val="24"/>
                <w:shd w:val="clear" w:color="auto" w:fill="FFFFFF"/>
              </w:rPr>
              <w:t>Rapport de session</w:t>
            </w:r>
          </w:p>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p>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r w:rsidRPr="00382929">
              <w:rPr>
                <w:rFonts w:cs="Arial"/>
                <w:color w:val="212121"/>
                <w:sz w:val="24"/>
                <w:szCs w:val="24"/>
                <w:shd w:val="clear" w:color="auto" w:fill="FFFFFF"/>
              </w:rPr>
              <w:t>Liste de présence</w:t>
            </w:r>
          </w:p>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p>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r w:rsidRPr="00382929">
              <w:rPr>
                <w:rFonts w:cs="Arial"/>
                <w:color w:val="212121"/>
                <w:sz w:val="24"/>
                <w:szCs w:val="24"/>
                <w:shd w:val="clear" w:color="auto" w:fill="FFFFFF"/>
              </w:rPr>
              <w:t xml:space="preserve">Amélioration des </w:t>
            </w:r>
            <w:r w:rsidRPr="00382929">
              <w:rPr>
                <w:rFonts w:cs="Arial"/>
                <w:color w:val="212121"/>
                <w:sz w:val="24"/>
                <w:szCs w:val="24"/>
                <w:shd w:val="clear" w:color="auto" w:fill="FFFFFF"/>
              </w:rPr>
              <w:lastRenderedPageBreak/>
              <w:t>produits d’OCHA</w:t>
            </w:r>
          </w:p>
        </w:tc>
      </w:tr>
      <w:tr w:rsidR="00D42953" w:rsidRPr="00382929" w:rsidTr="0072176C">
        <w:trPr>
          <w:trHeight w:val="777"/>
        </w:trPr>
        <w:tc>
          <w:tcPr>
            <w:tcW w:w="3115" w:type="dxa"/>
          </w:tcPr>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r w:rsidRPr="00382929">
              <w:rPr>
                <w:rFonts w:cs="Arial"/>
                <w:color w:val="212121"/>
                <w:sz w:val="24"/>
                <w:szCs w:val="24"/>
                <w:shd w:val="clear" w:color="auto" w:fill="FFFFFF"/>
              </w:rPr>
              <w:lastRenderedPageBreak/>
              <w:t>Engager le gouvernement dans l’utilisation du MGA et sa promotion</w:t>
            </w:r>
          </w:p>
        </w:tc>
        <w:tc>
          <w:tcPr>
            <w:tcW w:w="3103" w:type="dxa"/>
          </w:tcPr>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r w:rsidRPr="00382929">
              <w:rPr>
                <w:rFonts w:cs="Arial"/>
                <w:color w:val="212121"/>
                <w:sz w:val="24"/>
                <w:szCs w:val="24"/>
                <w:shd w:val="clear" w:color="auto" w:fill="FFFFFF"/>
              </w:rPr>
              <w:t xml:space="preserve">Briefing sur le MGA aux ministères </w:t>
            </w:r>
            <w:proofErr w:type="spellStart"/>
            <w:r w:rsidRPr="00382929">
              <w:rPr>
                <w:rFonts w:cs="Arial"/>
                <w:color w:val="212121"/>
                <w:sz w:val="24"/>
                <w:szCs w:val="24"/>
                <w:shd w:val="clear" w:color="auto" w:fill="FFFFFF"/>
              </w:rPr>
              <w:t>co</w:t>
            </w:r>
            <w:proofErr w:type="spellEnd"/>
            <w:r w:rsidRPr="00382929">
              <w:rPr>
                <w:rFonts w:cs="Arial"/>
                <w:color w:val="212121"/>
                <w:sz w:val="24"/>
                <w:szCs w:val="24"/>
                <w:shd w:val="clear" w:color="auto" w:fill="FFFFFF"/>
              </w:rPr>
              <w:t>-lead des clusters</w:t>
            </w:r>
          </w:p>
        </w:tc>
        <w:tc>
          <w:tcPr>
            <w:tcW w:w="2868" w:type="dxa"/>
          </w:tcPr>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r w:rsidRPr="00382929">
              <w:rPr>
                <w:rFonts w:cs="Arial"/>
                <w:color w:val="212121"/>
                <w:sz w:val="24"/>
                <w:szCs w:val="24"/>
                <w:shd w:val="clear" w:color="auto" w:fill="FFFFFF"/>
              </w:rPr>
              <w:t>Ministères et délégations sectorielles</w:t>
            </w:r>
          </w:p>
        </w:tc>
        <w:tc>
          <w:tcPr>
            <w:tcW w:w="2220" w:type="dxa"/>
          </w:tcPr>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r w:rsidRPr="00382929">
              <w:rPr>
                <w:rFonts w:cs="Arial"/>
                <w:color w:val="212121"/>
                <w:sz w:val="24"/>
                <w:szCs w:val="24"/>
                <w:shd w:val="clear" w:color="auto" w:fill="FFFFFF"/>
              </w:rPr>
              <w:t>En continue</w:t>
            </w:r>
          </w:p>
        </w:tc>
        <w:tc>
          <w:tcPr>
            <w:tcW w:w="2586" w:type="dxa"/>
          </w:tcPr>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p>
        </w:tc>
        <w:tc>
          <w:tcPr>
            <w:tcW w:w="2263" w:type="dxa"/>
          </w:tcPr>
          <w:p w:rsidR="00D42953" w:rsidRPr="00382929" w:rsidRDefault="00D42953" w:rsidP="00721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cs="Arial"/>
                <w:color w:val="212121"/>
                <w:sz w:val="24"/>
                <w:szCs w:val="24"/>
                <w:shd w:val="clear" w:color="auto" w:fill="FFFFFF"/>
              </w:rPr>
            </w:pPr>
          </w:p>
        </w:tc>
      </w:tr>
    </w:tbl>
    <w:p w:rsidR="00D42953" w:rsidRPr="00382929" w:rsidRDefault="00D42953" w:rsidP="00D429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7"/>
        <w:jc w:val="both"/>
        <w:rPr>
          <w:rFonts w:cs="Arial"/>
          <w:color w:val="212121"/>
          <w:sz w:val="24"/>
          <w:szCs w:val="24"/>
          <w:shd w:val="clear" w:color="auto" w:fill="FFFFFF"/>
        </w:rPr>
      </w:pPr>
    </w:p>
    <w:p w:rsidR="00042C35" w:rsidRPr="00382929" w:rsidRDefault="00042C35" w:rsidP="005E4841">
      <w:pPr>
        <w:ind w:left="567"/>
        <w:rPr>
          <w:b/>
          <w:sz w:val="24"/>
          <w:szCs w:val="24"/>
        </w:rPr>
      </w:pPr>
    </w:p>
    <w:p w:rsidR="005E4841" w:rsidRDefault="005E4841" w:rsidP="005E4841">
      <w:pPr>
        <w:rPr>
          <w:b/>
          <w:sz w:val="24"/>
          <w:szCs w:val="24"/>
        </w:rPr>
        <w:sectPr w:rsidR="005E4841" w:rsidSect="00D42953">
          <w:pgSz w:w="16838" w:h="11906" w:orient="landscape"/>
          <w:pgMar w:top="567" w:right="1417" w:bottom="1417" w:left="1417" w:header="708" w:footer="708" w:gutter="0"/>
          <w:cols w:space="708"/>
          <w:docGrid w:linePitch="360"/>
        </w:sectPr>
      </w:pPr>
    </w:p>
    <w:p w:rsidR="00382929" w:rsidRDefault="00382929">
      <w:pPr>
        <w:rPr>
          <w:b/>
          <w:sz w:val="24"/>
          <w:szCs w:val="24"/>
        </w:rPr>
      </w:pPr>
    </w:p>
    <w:sectPr w:rsidR="00382929" w:rsidSect="005C7C31">
      <w:pgSz w:w="16838" w:h="11906" w:orient="landscape"/>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948" w:rsidRDefault="00413948" w:rsidP="006B4CC5">
      <w:pPr>
        <w:spacing w:after="0" w:line="240" w:lineRule="auto"/>
      </w:pPr>
      <w:r>
        <w:separator/>
      </w:r>
    </w:p>
  </w:endnote>
  <w:endnote w:type="continuationSeparator" w:id="0">
    <w:p w:rsidR="00413948" w:rsidRDefault="00413948" w:rsidP="006B4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botoCondensed-Bold">
    <w:altName w:val="Arial"/>
    <w:panose1 w:val="00000000000000000000"/>
    <w:charset w:val="00"/>
    <w:family w:val="swiss"/>
    <w:notTrueType/>
    <w:pitch w:val="default"/>
    <w:sig w:usb0="00000003" w:usb1="00000000" w:usb2="00000000" w:usb3="00000000" w:csb0="00000001" w:csb1="00000000"/>
  </w:font>
  <w:font w:name="RobotoCondensed-Regular">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948" w:rsidRDefault="00413948" w:rsidP="006B4CC5">
      <w:pPr>
        <w:spacing w:after="0" w:line="240" w:lineRule="auto"/>
      </w:pPr>
      <w:r>
        <w:separator/>
      </w:r>
    </w:p>
  </w:footnote>
  <w:footnote w:type="continuationSeparator" w:id="0">
    <w:p w:rsidR="00413948" w:rsidRDefault="00413948" w:rsidP="006B4C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140EB"/>
    <w:multiLevelType w:val="hybridMultilevel"/>
    <w:tmpl w:val="55203154"/>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 w15:restartNumberingAfterBreak="0">
    <w:nsid w:val="26D733CB"/>
    <w:multiLevelType w:val="hybridMultilevel"/>
    <w:tmpl w:val="6BE6F2E2"/>
    <w:lvl w:ilvl="0" w:tplc="040C000F">
      <w:start w:val="1"/>
      <w:numFmt w:val="decimal"/>
      <w:lvlText w:val="%1."/>
      <w:lvlJc w:val="left"/>
      <w:pPr>
        <w:ind w:left="1647" w:hanging="360"/>
      </w:p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2" w15:restartNumberingAfterBreak="0">
    <w:nsid w:val="38CE6762"/>
    <w:multiLevelType w:val="hybridMultilevel"/>
    <w:tmpl w:val="C672A5B4"/>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15:restartNumberingAfterBreak="0">
    <w:nsid w:val="62B87409"/>
    <w:multiLevelType w:val="hybridMultilevel"/>
    <w:tmpl w:val="962ECF04"/>
    <w:lvl w:ilvl="0" w:tplc="464418A2">
      <w:start w:val="1"/>
      <w:numFmt w:val="decimal"/>
      <w:lvlText w:val="%1."/>
      <w:lvlJc w:val="left"/>
      <w:pPr>
        <w:tabs>
          <w:tab w:val="num" w:pos="720"/>
        </w:tabs>
        <w:ind w:left="720" w:hanging="360"/>
      </w:pPr>
    </w:lvl>
    <w:lvl w:ilvl="1" w:tplc="48F2CDE0" w:tentative="1">
      <w:start w:val="1"/>
      <w:numFmt w:val="decimal"/>
      <w:lvlText w:val="%2."/>
      <w:lvlJc w:val="left"/>
      <w:pPr>
        <w:tabs>
          <w:tab w:val="num" w:pos="1440"/>
        </w:tabs>
        <w:ind w:left="1440" w:hanging="360"/>
      </w:pPr>
    </w:lvl>
    <w:lvl w:ilvl="2" w:tplc="87C07B98" w:tentative="1">
      <w:start w:val="1"/>
      <w:numFmt w:val="decimal"/>
      <w:lvlText w:val="%3."/>
      <w:lvlJc w:val="left"/>
      <w:pPr>
        <w:tabs>
          <w:tab w:val="num" w:pos="2160"/>
        </w:tabs>
        <w:ind w:left="2160" w:hanging="360"/>
      </w:pPr>
    </w:lvl>
    <w:lvl w:ilvl="3" w:tplc="DAD6C7F8" w:tentative="1">
      <w:start w:val="1"/>
      <w:numFmt w:val="decimal"/>
      <w:lvlText w:val="%4."/>
      <w:lvlJc w:val="left"/>
      <w:pPr>
        <w:tabs>
          <w:tab w:val="num" w:pos="2880"/>
        </w:tabs>
        <w:ind w:left="2880" w:hanging="360"/>
      </w:pPr>
    </w:lvl>
    <w:lvl w:ilvl="4" w:tplc="F08E3B96" w:tentative="1">
      <w:start w:val="1"/>
      <w:numFmt w:val="decimal"/>
      <w:lvlText w:val="%5."/>
      <w:lvlJc w:val="left"/>
      <w:pPr>
        <w:tabs>
          <w:tab w:val="num" w:pos="3600"/>
        </w:tabs>
        <w:ind w:left="3600" w:hanging="360"/>
      </w:pPr>
    </w:lvl>
    <w:lvl w:ilvl="5" w:tplc="356845FA" w:tentative="1">
      <w:start w:val="1"/>
      <w:numFmt w:val="decimal"/>
      <w:lvlText w:val="%6."/>
      <w:lvlJc w:val="left"/>
      <w:pPr>
        <w:tabs>
          <w:tab w:val="num" w:pos="4320"/>
        </w:tabs>
        <w:ind w:left="4320" w:hanging="360"/>
      </w:pPr>
    </w:lvl>
    <w:lvl w:ilvl="6" w:tplc="D8BC2BC8" w:tentative="1">
      <w:start w:val="1"/>
      <w:numFmt w:val="decimal"/>
      <w:lvlText w:val="%7."/>
      <w:lvlJc w:val="left"/>
      <w:pPr>
        <w:tabs>
          <w:tab w:val="num" w:pos="5040"/>
        </w:tabs>
        <w:ind w:left="5040" w:hanging="360"/>
      </w:pPr>
    </w:lvl>
    <w:lvl w:ilvl="7" w:tplc="140A307A" w:tentative="1">
      <w:start w:val="1"/>
      <w:numFmt w:val="decimal"/>
      <w:lvlText w:val="%8."/>
      <w:lvlJc w:val="left"/>
      <w:pPr>
        <w:tabs>
          <w:tab w:val="num" w:pos="5760"/>
        </w:tabs>
        <w:ind w:left="5760" w:hanging="360"/>
      </w:pPr>
    </w:lvl>
    <w:lvl w:ilvl="8" w:tplc="2DE8675E" w:tentative="1">
      <w:start w:val="1"/>
      <w:numFmt w:val="decimal"/>
      <w:lvlText w:val="%9."/>
      <w:lvlJc w:val="left"/>
      <w:pPr>
        <w:tabs>
          <w:tab w:val="num" w:pos="6480"/>
        </w:tabs>
        <w:ind w:left="6480" w:hanging="360"/>
      </w:pPr>
    </w:lvl>
  </w:abstractNum>
  <w:abstractNum w:abstractNumId="4" w15:restartNumberingAfterBreak="0">
    <w:nsid w:val="689D0C7F"/>
    <w:multiLevelType w:val="hybridMultilevel"/>
    <w:tmpl w:val="4066EC04"/>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6B1010C6"/>
    <w:multiLevelType w:val="hybridMultilevel"/>
    <w:tmpl w:val="79BED1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2213103"/>
    <w:multiLevelType w:val="hybridMultilevel"/>
    <w:tmpl w:val="1EE6E160"/>
    <w:lvl w:ilvl="0" w:tplc="040C000F">
      <w:start w:val="1"/>
      <w:numFmt w:val="decimal"/>
      <w:lvlText w:val="%1."/>
      <w:lvlJc w:val="left"/>
      <w:pPr>
        <w:ind w:left="1647" w:hanging="360"/>
      </w:p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7" w15:restartNumberingAfterBreak="0">
    <w:nsid w:val="76F42F32"/>
    <w:multiLevelType w:val="hybridMultilevel"/>
    <w:tmpl w:val="8594F37E"/>
    <w:lvl w:ilvl="0" w:tplc="040C000F">
      <w:start w:val="1"/>
      <w:numFmt w:val="decimal"/>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num w:numId="1">
    <w:abstractNumId w:val="3"/>
  </w:num>
  <w:num w:numId="2">
    <w:abstractNumId w:val="5"/>
  </w:num>
  <w:num w:numId="3">
    <w:abstractNumId w:val="0"/>
  </w:num>
  <w:num w:numId="4">
    <w:abstractNumId w:val="4"/>
  </w:num>
  <w:num w:numId="5">
    <w:abstractNumId w:val="1"/>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03E"/>
    <w:rsid w:val="000052D1"/>
    <w:rsid w:val="00041983"/>
    <w:rsid w:val="00042C35"/>
    <w:rsid w:val="000A3981"/>
    <w:rsid w:val="00106379"/>
    <w:rsid w:val="00166EF9"/>
    <w:rsid w:val="0020229E"/>
    <w:rsid w:val="0033338B"/>
    <w:rsid w:val="00382929"/>
    <w:rsid w:val="00413948"/>
    <w:rsid w:val="00432115"/>
    <w:rsid w:val="004842C5"/>
    <w:rsid w:val="004A7B9A"/>
    <w:rsid w:val="00551E22"/>
    <w:rsid w:val="00554340"/>
    <w:rsid w:val="00594BDB"/>
    <w:rsid w:val="005B76DA"/>
    <w:rsid w:val="005C7C31"/>
    <w:rsid w:val="005E4841"/>
    <w:rsid w:val="006308A7"/>
    <w:rsid w:val="00642F30"/>
    <w:rsid w:val="006B4CC5"/>
    <w:rsid w:val="006D3897"/>
    <w:rsid w:val="006E62E3"/>
    <w:rsid w:val="007769EB"/>
    <w:rsid w:val="007A5B86"/>
    <w:rsid w:val="00865FD2"/>
    <w:rsid w:val="008E7BDB"/>
    <w:rsid w:val="009451C8"/>
    <w:rsid w:val="0098192B"/>
    <w:rsid w:val="009B5469"/>
    <w:rsid w:val="00A35F46"/>
    <w:rsid w:val="00A57C41"/>
    <w:rsid w:val="00AE097E"/>
    <w:rsid w:val="00AE7B0D"/>
    <w:rsid w:val="00B1493E"/>
    <w:rsid w:val="00B15D8D"/>
    <w:rsid w:val="00B36C56"/>
    <w:rsid w:val="00BB1A3C"/>
    <w:rsid w:val="00BD0B8C"/>
    <w:rsid w:val="00C07535"/>
    <w:rsid w:val="00C468CD"/>
    <w:rsid w:val="00C55048"/>
    <w:rsid w:val="00CA521B"/>
    <w:rsid w:val="00CE457F"/>
    <w:rsid w:val="00D37E5D"/>
    <w:rsid w:val="00D42953"/>
    <w:rsid w:val="00D540CC"/>
    <w:rsid w:val="00DA5391"/>
    <w:rsid w:val="00DA736E"/>
    <w:rsid w:val="00DF08DD"/>
    <w:rsid w:val="00E60DCF"/>
    <w:rsid w:val="00EA1B7A"/>
    <w:rsid w:val="00EA25A5"/>
    <w:rsid w:val="00EB5D9F"/>
    <w:rsid w:val="00EF00EB"/>
    <w:rsid w:val="00F0700D"/>
    <w:rsid w:val="00F263CD"/>
    <w:rsid w:val="00F4103E"/>
    <w:rsid w:val="00FC6C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F8F3A"/>
  <w15:chartTrackingRefBased/>
  <w15:docId w15:val="{AF9299D7-B1C7-429E-BB06-A130225E1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AE7B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41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C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CE457F"/>
    <w:rPr>
      <w:rFonts w:ascii="Courier New" w:eastAsia="Times New Roman" w:hAnsi="Courier New" w:cs="Courier New"/>
      <w:sz w:val="20"/>
      <w:szCs w:val="20"/>
      <w:lang w:eastAsia="fr-FR"/>
    </w:rPr>
  </w:style>
  <w:style w:type="paragraph" w:styleId="Notedebasdepage">
    <w:name w:val="footnote text"/>
    <w:basedOn w:val="Normal"/>
    <w:link w:val="NotedebasdepageCar"/>
    <w:uiPriority w:val="99"/>
    <w:unhideWhenUsed/>
    <w:rsid w:val="006B4CC5"/>
    <w:pPr>
      <w:spacing w:after="0" w:line="240" w:lineRule="auto"/>
    </w:pPr>
    <w:rPr>
      <w:sz w:val="20"/>
      <w:szCs w:val="20"/>
      <w:lang w:val="en-CA"/>
    </w:rPr>
  </w:style>
  <w:style w:type="character" w:customStyle="1" w:styleId="NotedebasdepageCar">
    <w:name w:val="Note de bas de page Car"/>
    <w:basedOn w:val="Policepardfaut"/>
    <w:link w:val="Notedebasdepage"/>
    <w:uiPriority w:val="99"/>
    <w:rsid w:val="006B4CC5"/>
    <w:rPr>
      <w:sz w:val="20"/>
      <w:szCs w:val="20"/>
      <w:lang w:val="en-CA"/>
    </w:rPr>
  </w:style>
  <w:style w:type="character" w:styleId="Appelnotedebasdep">
    <w:name w:val="footnote reference"/>
    <w:basedOn w:val="Policepardfaut"/>
    <w:uiPriority w:val="99"/>
    <w:unhideWhenUsed/>
    <w:rsid w:val="006B4CC5"/>
    <w:rPr>
      <w:vertAlign w:val="superscript"/>
    </w:rPr>
  </w:style>
  <w:style w:type="paragraph" w:styleId="Paragraphedeliste">
    <w:name w:val="List Paragraph"/>
    <w:basedOn w:val="Normal"/>
    <w:uiPriority w:val="34"/>
    <w:qFormat/>
    <w:rsid w:val="006B4CC5"/>
    <w:pPr>
      <w:spacing w:after="200" w:line="276" w:lineRule="auto"/>
      <w:ind w:left="720"/>
      <w:contextualSpacing/>
    </w:pPr>
    <w:rPr>
      <w:lang w:val="en-US"/>
    </w:rPr>
  </w:style>
  <w:style w:type="character" w:customStyle="1" w:styleId="Titre1Car">
    <w:name w:val="Titre 1 Car"/>
    <w:basedOn w:val="Policepardfaut"/>
    <w:link w:val="Titre1"/>
    <w:uiPriority w:val="9"/>
    <w:rsid w:val="00AE7B0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8336">
      <w:bodyDiv w:val="1"/>
      <w:marLeft w:val="0"/>
      <w:marRight w:val="0"/>
      <w:marTop w:val="0"/>
      <w:marBottom w:val="0"/>
      <w:divBdr>
        <w:top w:val="none" w:sz="0" w:space="0" w:color="auto"/>
        <w:left w:val="none" w:sz="0" w:space="0" w:color="auto"/>
        <w:bottom w:val="none" w:sz="0" w:space="0" w:color="auto"/>
        <w:right w:val="none" w:sz="0" w:space="0" w:color="auto"/>
      </w:divBdr>
      <w:divsChild>
        <w:div w:id="903872909">
          <w:marLeft w:val="806"/>
          <w:marRight w:val="0"/>
          <w:marTop w:val="200"/>
          <w:marBottom w:val="0"/>
          <w:divBdr>
            <w:top w:val="none" w:sz="0" w:space="0" w:color="auto"/>
            <w:left w:val="none" w:sz="0" w:space="0" w:color="auto"/>
            <w:bottom w:val="none" w:sz="0" w:space="0" w:color="auto"/>
            <w:right w:val="none" w:sz="0" w:space="0" w:color="auto"/>
          </w:divBdr>
        </w:div>
        <w:div w:id="358705745">
          <w:marLeft w:val="806"/>
          <w:marRight w:val="0"/>
          <w:marTop w:val="200"/>
          <w:marBottom w:val="0"/>
          <w:divBdr>
            <w:top w:val="none" w:sz="0" w:space="0" w:color="auto"/>
            <w:left w:val="none" w:sz="0" w:space="0" w:color="auto"/>
            <w:bottom w:val="none" w:sz="0" w:space="0" w:color="auto"/>
            <w:right w:val="none" w:sz="0" w:space="0" w:color="auto"/>
          </w:divBdr>
        </w:div>
        <w:div w:id="1001086832">
          <w:marLeft w:val="806"/>
          <w:marRight w:val="0"/>
          <w:marTop w:val="200"/>
          <w:marBottom w:val="0"/>
          <w:divBdr>
            <w:top w:val="none" w:sz="0" w:space="0" w:color="auto"/>
            <w:left w:val="none" w:sz="0" w:space="0" w:color="auto"/>
            <w:bottom w:val="none" w:sz="0" w:space="0" w:color="auto"/>
            <w:right w:val="none" w:sz="0" w:space="0" w:color="auto"/>
          </w:divBdr>
        </w:div>
        <w:div w:id="1180392370">
          <w:marLeft w:val="806"/>
          <w:marRight w:val="0"/>
          <w:marTop w:val="200"/>
          <w:marBottom w:val="0"/>
          <w:divBdr>
            <w:top w:val="none" w:sz="0" w:space="0" w:color="auto"/>
            <w:left w:val="none" w:sz="0" w:space="0" w:color="auto"/>
            <w:bottom w:val="none" w:sz="0" w:space="0" w:color="auto"/>
            <w:right w:val="none" w:sz="0" w:space="0" w:color="auto"/>
          </w:divBdr>
        </w:div>
        <w:div w:id="1981957438">
          <w:marLeft w:val="806"/>
          <w:marRight w:val="0"/>
          <w:marTop w:val="200"/>
          <w:marBottom w:val="0"/>
          <w:divBdr>
            <w:top w:val="none" w:sz="0" w:space="0" w:color="auto"/>
            <w:left w:val="none" w:sz="0" w:space="0" w:color="auto"/>
            <w:bottom w:val="none" w:sz="0" w:space="0" w:color="auto"/>
            <w:right w:val="none" w:sz="0" w:space="0" w:color="auto"/>
          </w:divBdr>
        </w:div>
      </w:divsChild>
    </w:div>
    <w:div w:id="291402003">
      <w:bodyDiv w:val="1"/>
      <w:marLeft w:val="0"/>
      <w:marRight w:val="0"/>
      <w:marTop w:val="0"/>
      <w:marBottom w:val="0"/>
      <w:divBdr>
        <w:top w:val="none" w:sz="0" w:space="0" w:color="auto"/>
        <w:left w:val="none" w:sz="0" w:space="0" w:color="auto"/>
        <w:bottom w:val="none" w:sz="0" w:space="0" w:color="auto"/>
        <w:right w:val="none" w:sz="0" w:space="0" w:color="auto"/>
      </w:divBdr>
    </w:div>
    <w:div w:id="313994861">
      <w:bodyDiv w:val="1"/>
      <w:marLeft w:val="0"/>
      <w:marRight w:val="0"/>
      <w:marTop w:val="0"/>
      <w:marBottom w:val="0"/>
      <w:divBdr>
        <w:top w:val="none" w:sz="0" w:space="0" w:color="auto"/>
        <w:left w:val="none" w:sz="0" w:space="0" w:color="auto"/>
        <w:bottom w:val="none" w:sz="0" w:space="0" w:color="auto"/>
        <w:right w:val="none" w:sz="0" w:space="0" w:color="auto"/>
      </w:divBdr>
    </w:div>
    <w:div w:id="722211733">
      <w:bodyDiv w:val="1"/>
      <w:marLeft w:val="0"/>
      <w:marRight w:val="0"/>
      <w:marTop w:val="0"/>
      <w:marBottom w:val="0"/>
      <w:divBdr>
        <w:top w:val="none" w:sz="0" w:space="0" w:color="auto"/>
        <w:left w:val="none" w:sz="0" w:space="0" w:color="auto"/>
        <w:bottom w:val="none" w:sz="0" w:space="0" w:color="auto"/>
        <w:right w:val="none" w:sz="0" w:space="0" w:color="auto"/>
      </w:divBdr>
    </w:div>
    <w:div w:id="878664737">
      <w:bodyDiv w:val="1"/>
      <w:marLeft w:val="0"/>
      <w:marRight w:val="0"/>
      <w:marTop w:val="0"/>
      <w:marBottom w:val="0"/>
      <w:divBdr>
        <w:top w:val="none" w:sz="0" w:space="0" w:color="auto"/>
        <w:left w:val="none" w:sz="0" w:space="0" w:color="auto"/>
        <w:bottom w:val="none" w:sz="0" w:space="0" w:color="auto"/>
        <w:right w:val="none" w:sz="0" w:space="0" w:color="auto"/>
      </w:divBdr>
    </w:div>
    <w:div w:id="944769363">
      <w:bodyDiv w:val="1"/>
      <w:marLeft w:val="0"/>
      <w:marRight w:val="0"/>
      <w:marTop w:val="0"/>
      <w:marBottom w:val="0"/>
      <w:divBdr>
        <w:top w:val="none" w:sz="0" w:space="0" w:color="auto"/>
        <w:left w:val="none" w:sz="0" w:space="0" w:color="auto"/>
        <w:bottom w:val="none" w:sz="0" w:space="0" w:color="auto"/>
        <w:right w:val="none" w:sz="0" w:space="0" w:color="auto"/>
      </w:divBdr>
    </w:div>
    <w:div w:id="1033114228">
      <w:bodyDiv w:val="1"/>
      <w:marLeft w:val="0"/>
      <w:marRight w:val="0"/>
      <w:marTop w:val="0"/>
      <w:marBottom w:val="0"/>
      <w:divBdr>
        <w:top w:val="none" w:sz="0" w:space="0" w:color="auto"/>
        <w:left w:val="none" w:sz="0" w:space="0" w:color="auto"/>
        <w:bottom w:val="none" w:sz="0" w:space="0" w:color="auto"/>
        <w:right w:val="none" w:sz="0" w:space="0" w:color="auto"/>
      </w:divBdr>
    </w:div>
    <w:div w:id="1084886067">
      <w:bodyDiv w:val="1"/>
      <w:marLeft w:val="0"/>
      <w:marRight w:val="0"/>
      <w:marTop w:val="0"/>
      <w:marBottom w:val="0"/>
      <w:divBdr>
        <w:top w:val="none" w:sz="0" w:space="0" w:color="auto"/>
        <w:left w:val="none" w:sz="0" w:space="0" w:color="auto"/>
        <w:bottom w:val="none" w:sz="0" w:space="0" w:color="auto"/>
        <w:right w:val="none" w:sz="0" w:space="0" w:color="auto"/>
      </w:divBdr>
    </w:div>
    <w:div w:id="1096101349">
      <w:bodyDiv w:val="1"/>
      <w:marLeft w:val="0"/>
      <w:marRight w:val="0"/>
      <w:marTop w:val="0"/>
      <w:marBottom w:val="0"/>
      <w:divBdr>
        <w:top w:val="none" w:sz="0" w:space="0" w:color="auto"/>
        <w:left w:val="none" w:sz="0" w:space="0" w:color="auto"/>
        <w:bottom w:val="none" w:sz="0" w:space="0" w:color="auto"/>
        <w:right w:val="none" w:sz="0" w:space="0" w:color="auto"/>
      </w:divBdr>
    </w:div>
    <w:div w:id="1238440374">
      <w:bodyDiv w:val="1"/>
      <w:marLeft w:val="0"/>
      <w:marRight w:val="0"/>
      <w:marTop w:val="0"/>
      <w:marBottom w:val="0"/>
      <w:divBdr>
        <w:top w:val="none" w:sz="0" w:space="0" w:color="auto"/>
        <w:left w:val="none" w:sz="0" w:space="0" w:color="auto"/>
        <w:bottom w:val="none" w:sz="0" w:space="0" w:color="auto"/>
        <w:right w:val="none" w:sz="0" w:space="0" w:color="auto"/>
      </w:divBdr>
    </w:div>
    <w:div w:id="1804930876">
      <w:bodyDiv w:val="1"/>
      <w:marLeft w:val="0"/>
      <w:marRight w:val="0"/>
      <w:marTop w:val="0"/>
      <w:marBottom w:val="0"/>
      <w:divBdr>
        <w:top w:val="none" w:sz="0" w:space="0" w:color="auto"/>
        <w:left w:val="none" w:sz="0" w:space="0" w:color="auto"/>
        <w:bottom w:val="none" w:sz="0" w:space="0" w:color="auto"/>
        <w:right w:val="none" w:sz="0" w:space="0" w:color="auto"/>
      </w:divBdr>
    </w:div>
    <w:div w:id="214650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8D3F5-1E89-4F23-9282-9F492AAD0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1381</Words>
  <Characters>7597</Characters>
  <Application>Microsoft Office Word</Application>
  <DocSecurity>0</DocSecurity>
  <Lines>63</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Elien</dc:creator>
  <cp:keywords/>
  <dc:description/>
  <cp:lastModifiedBy>Rachelle Elien</cp:lastModifiedBy>
  <cp:revision>13</cp:revision>
  <dcterms:created xsi:type="dcterms:W3CDTF">2018-07-30T16:22:00Z</dcterms:created>
  <dcterms:modified xsi:type="dcterms:W3CDTF">2018-07-30T16:44:00Z</dcterms:modified>
</cp:coreProperties>
</file>