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9EA" w:rsidRPr="001C0338" w:rsidRDefault="000F49EA" w:rsidP="001C0338">
      <w:pPr>
        <w:spacing w:before="120" w:after="120" w:line="240" w:lineRule="auto"/>
        <w:rPr>
          <w:rFonts w:ascii="Calibri" w:hAnsi="Calibri" w:cs="Calibri"/>
          <w:sz w:val="18"/>
          <w:szCs w:val="18"/>
          <w:lang w:val="fr-CH"/>
        </w:rPr>
      </w:pPr>
      <w:r w:rsidRPr="001C0338">
        <w:rPr>
          <w:rFonts w:ascii="Calibri" w:hAnsi="Calibri" w:cs="Calibri"/>
          <w:sz w:val="18"/>
          <w:szCs w:val="18"/>
          <w:lang w:val="fr-CH"/>
        </w:rPr>
        <w:t>Le marqueur de genre et d’âge (MGA) de l’IASC est fondé sur</w:t>
      </w:r>
      <w:r w:rsidRPr="001C0338">
        <w:rPr>
          <w:rFonts w:ascii="Calibri" w:hAnsi="Calibri" w:cs="Calibri"/>
          <w:sz w:val="18"/>
          <w:szCs w:val="18"/>
          <w:lang w:val="fr-CH"/>
        </w:rPr>
        <w:t xml:space="preserve"> les douze </w:t>
      </w:r>
      <w:r w:rsidRPr="001C0338">
        <w:rPr>
          <w:rFonts w:ascii="Calibri" w:hAnsi="Calibri" w:cs="Calibri"/>
          <w:sz w:val="18"/>
          <w:szCs w:val="18"/>
          <w:lang w:val="fr-CH"/>
        </w:rPr>
        <w:t xml:space="preserve">MEG suivants.  </w:t>
      </w:r>
      <w:r w:rsidRPr="001C0338">
        <w:rPr>
          <w:rFonts w:ascii="Calibri" w:hAnsi="Calibri" w:cs="Calibri"/>
          <w:sz w:val="18"/>
          <w:szCs w:val="18"/>
          <w:lang w:val="fr-CH"/>
        </w:rPr>
        <w:t xml:space="preserve"> </w:t>
      </w:r>
      <w:r w:rsidRPr="001C0338">
        <w:rPr>
          <w:rFonts w:ascii="Calibri" w:hAnsi="Calibri" w:cs="Calibri"/>
          <w:sz w:val="18"/>
          <w:szCs w:val="18"/>
          <w:lang w:val="fr-CH"/>
        </w:rPr>
        <w:t xml:space="preserve">Le marqueur est codé sur la base de l’inclusion des MEG clés A, D, G et J. </w:t>
      </w:r>
      <w:r w:rsidRPr="001C0338">
        <w:rPr>
          <w:rFonts w:ascii="Calibri" w:hAnsi="Calibri" w:cs="Calibri"/>
          <w:sz w:val="18"/>
          <w:szCs w:val="18"/>
          <w:lang w:val="fr-CH"/>
        </w:rPr>
        <w:t xml:space="preserve"> </w:t>
      </w:r>
      <w:r w:rsidRPr="001C0338">
        <w:rPr>
          <w:rFonts w:ascii="Calibri" w:hAnsi="Calibri" w:cs="Calibri"/>
          <w:sz w:val="18"/>
          <w:szCs w:val="18"/>
          <w:lang w:val="fr-CH"/>
        </w:rPr>
        <w:t>Les autres MEG aident à comprendre ce qui fonctionne bien et ce qui doit être amélioré.  Les MEG de soutien apparaissent dans la phase de suivi du marqueur.</w:t>
      </w:r>
    </w:p>
    <w:tbl>
      <w:tblPr>
        <w:tblStyle w:val="TableGrid"/>
        <w:tblW w:w="1134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425"/>
        <w:gridCol w:w="2126"/>
        <w:gridCol w:w="4111"/>
        <w:gridCol w:w="3544"/>
      </w:tblGrid>
      <w:tr w:rsidR="00250C21" w:rsidTr="00187CE2">
        <w:tc>
          <w:tcPr>
            <w:tcW w:w="1560" w:type="dxa"/>
            <w:gridSpan w:val="2"/>
            <w:tcBorders>
              <w:bottom w:val="single" w:sz="24" w:space="0" w:color="BF8F00" w:themeColor="accent4" w:themeShade="BF"/>
            </w:tcBorders>
          </w:tcPr>
          <w:p w:rsidR="000F49EA" w:rsidRPr="00025E00" w:rsidRDefault="000F49EA">
            <w:pPr>
              <w:rPr>
                <w:rFonts w:cstheme="minorHAnsi"/>
                <w:b/>
                <w:i/>
                <w:lang w:val="fr-CH"/>
              </w:rPr>
            </w:pPr>
          </w:p>
        </w:tc>
        <w:tc>
          <w:tcPr>
            <w:tcW w:w="2126" w:type="dxa"/>
            <w:tcBorders>
              <w:bottom w:val="single" w:sz="24" w:space="0" w:color="BF8F00" w:themeColor="accent4" w:themeShade="BF"/>
            </w:tcBorders>
          </w:tcPr>
          <w:p w:rsidR="000F49EA" w:rsidRPr="00F438BF" w:rsidRDefault="00CA26D5">
            <w:pPr>
              <w:rPr>
                <w:b/>
                <w:bCs/>
                <w:sz w:val="20"/>
                <w:szCs w:val="20"/>
                <w:lang w:val="fr-CH"/>
              </w:rPr>
            </w:pPr>
            <w:r w:rsidRPr="00F438BF">
              <w:rPr>
                <w:b/>
                <w:bCs/>
                <w:sz w:val="20"/>
                <w:szCs w:val="20"/>
                <w:lang w:val="fr-CH"/>
              </w:rPr>
              <w:t>MEG</w:t>
            </w:r>
          </w:p>
        </w:tc>
        <w:tc>
          <w:tcPr>
            <w:tcW w:w="4111" w:type="dxa"/>
            <w:tcBorders>
              <w:bottom w:val="single" w:sz="24" w:space="0" w:color="BF8F00" w:themeColor="accent4" w:themeShade="BF"/>
            </w:tcBorders>
          </w:tcPr>
          <w:p w:rsidR="000F49EA" w:rsidRPr="00F438BF" w:rsidRDefault="00CA26D5">
            <w:pPr>
              <w:rPr>
                <w:b/>
                <w:bCs/>
                <w:sz w:val="20"/>
                <w:szCs w:val="20"/>
                <w:lang w:val="fr-CH"/>
              </w:rPr>
            </w:pPr>
            <w:r w:rsidRPr="00F438BF">
              <w:rPr>
                <w:rFonts w:cstheme="minorHAnsi"/>
                <w:b/>
                <w:bCs/>
                <w:sz w:val="20"/>
                <w:szCs w:val="20"/>
              </w:rPr>
              <w:t>CRITÈRES</w:t>
            </w:r>
          </w:p>
        </w:tc>
        <w:tc>
          <w:tcPr>
            <w:tcW w:w="3544" w:type="dxa"/>
            <w:tcBorders>
              <w:bottom w:val="single" w:sz="24" w:space="0" w:color="BF8F00" w:themeColor="accent4" w:themeShade="BF"/>
            </w:tcBorders>
          </w:tcPr>
          <w:p w:rsidR="000F49EA" w:rsidRPr="00F438BF" w:rsidRDefault="000F49EA">
            <w:pPr>
              <w:rPr>
                <w:b/>
                <w:bCs/>
                <w:sz w:val="20"/>
                <w:szCs w:val="20"/>
                <w:lang w:val="fr-CH"/>
              </w:rPr>
            </w:pPr>
            <w:r w:rsidRPr="00F438BF">
              <w:rPr>
                <w:b/>
                <w:bCs/>
                <w:sz w:val="20"/>
                <w:szCs w:val="20"/>
                <w:lang w:val="fr-CH"/>
              </w:rPr>
              <w:t>EVIDENCE</w:t>
            </w:r>
          </w:p>
        </w:tc>
      </w:tr>
      <w:tr w:rsidR="00250C21" w:rsidTr="00187CE2">
        <w:tc>
          <w:tcPr>
            <w:tcW w:w="1135" w:type="dxa"/>
            <w:vMerge w:val="restart"/>
            <w:tcBorders>
              <w:top w:val="single" w:sz="24" w:space="0" w:color="BF8F00" w:themeColor="accent4" w:themeShade="BF"/>
            </w:tcBorders>
          </w:tcPr>
          <w:p w:rsidR="00182038" w:rsidRDefault="00F438BF" w:rsidP="00B258D4">
            <w:pPr>
              <w:rPr>
                <w:rFonts w:cstheme="minorHAnsi"/>
                <w:b/>
                <w:iCs/>
                <w:color w:val="538135" w:themeColor="accent6" w:themeShade="BF"/>
                <w:sz w:val="18"/>
                <w:szCs w:val="18"/>
                <w:lang w:val="fr-CH"/>
              </w:rPr>
            </w:pPr>
            <w:r w:rsidRPr="00F438BF">
              <w:rPr>
                <w:rFonts w:cstheme="minorHAnsi"/>
                <w:b/>
                <w:iCs/>
                <w:color w:val="538135" w:themeColor="accent6" w:themeShade="BF"/>
                <w:sz w:val="18"/>
                <w:szCs w:val="18"/>
                <w:lang w:val="fr-CH"/>
              </w:rPr>
              <w:t>CADRE D’É</w:t>
            </w:r>
            <w:r w:rsidR="00182038">
              <w:rPr>
                <w:rFonts w:cstheme="minorHAnsi"/>
                <w:b/>
                <w:iCs/>
                <w:color w:val="538135" w:themeColor="accent6" w:themeShade="BF"/>
                <w:sz w:val="18"/>
                <w:szCs w:val="18"/>
                <w:lang w:val="fr-CH"/>
              </w:rPr>
              <w:t>TUDE SUR L’ANALYSE DES BESOINS </w:t>
            </w:r>
            <w:r w:rsidRPr="00F438BF">
              <w:rPr>
                <w:rFonts w:cstheme="minorHAnsi"/>
                <w:b/>
                <w:iCs/>
                <w:color w:val="538135" w:themeColor="accent6" w:themeShade="BF"/>
                <w:sz w:val="18"/>
                <w:szCs w:val="18"/>
                <w:lang w:val="fr-CH"/>
              </w:rPr>
              <w:t xml:space="preserve"> </w:t>
            </w:r>
          </w:p>
          <w:p w:rsidR="00B258D4" w:rsidRPr="00382CB9" w:rsidRDefault="00B258D4" w:rsidP="00B258D4">
            <w:pPr>
              <w:rPr>
                <w:iCs/>
                <w:sz w:val="16"/>
                <w:szCs w:val="16"/>
                <w:lang w:val="fr-CH"/>
              </w:rPr>
            </w:pPr>
            <w:r w:rsidRPr="00382CB9">
              <w:rPr>
                <w:rFonts w:cstheme="minorHAnsi"/>
                <w:iCs/>
                <w:sz w:val="16"/>
                <w:szCs w:val="16"/>
                <w:lang w:val="fr-CH"/>
              </w:rPr>
              <w:t>Que savons-nous ?</w:t>
            </w:r>
          </w:p>
        </w:tc>
        <w:tc>
          <w:tcPr>
            <w:tcW w:w="425" w:type="dxa"/>
            <w:tcBorders>
              <w:top w:val="single" w:sz="24" w:space="0" w:color="BF8F00" w:themeColor="accent4" w:themeShade="BF"/>
              <w:bottom w:val="dotted" w:sz="8" w:space="0" w:color="BF8F00" w:themeColor="accent4" w:themeShade="BF"/>
            </w:tcBorders>
            <w:shd w:val="clear" w:color="auto" w:fill="FFE599" w:themeFill="accent4" w:themeFillTint="66"/>
            <w:vAlign w:val="center"/>
          </w:tcPr>
          <w:p w:rsidR="00B258D4" w:rsidRPr="00182038" w:rsidRDefault="00B258D4" w:rsidP="00CA26D5">
            <w:pPr>
              <w:jc w:val="center"/>
              <w:rPr>
                <w:b/>
                <w:bCs/>
                <w:color w:val="538135" w:themeColor="accent6" w:themeShade="BF"/>
                <w:lang w:val="fr-CH"/>
              </w:rPr>
            </w:pPr>
            <w:r w:rsidRPr="00182038">
              <w:rPr>
                <w:b/>
                <w:bCs/>
                <w:color w:val="538135" w:themeColor="accent6" w:themeShade="BF"/>
                <w:lang w:val="fr-CH"/>
              </w:rPr>
              <w:t>A</w:t>
            </w:r>
          </w:p>
        </w:tc>
        <w:tc>
          <w:tcPr>
            <w:tcW w:w="2126" w:type="dxa"/>
            <w:tcBorders>
              <w:top w:val="single" w:sz="24" w:space="0" w:color="BF8F00" w:themeColor="accent4" w:themeShade="BF"/>
              <w:bottom w:val="dotted" w:sz="8" w:space="0" w:color="BF8F00" w:themeColor="accent4" w:themeShade="BF"/>
            </w:tcBorders>
            <w:shd w:val="clear" w:color="auto" w:fill="FFE599" w:themeFill="accent4" w:themeFillTint="66"/>
            <w:vAlign w:val="center"/>
          </w:tcPr>
          <w:p w:rsidR="00B258D4" w:rsidRPr="00182038" w:rsidRDefault="00B258D4" w:rsidP="00E90EAD">
            <w:pPr>
              <w:spacing w:before="40" w:after="40"/>
              <w:rPr>
                <w:rFonts w:ascii="Calibri" w:eastAsia="Times New Roman" w:hAnsi="Calibri" w:cs="Calibri"/>
                <w:b/>
                <w:color w:val="538135" w:themeColor="accent6" w:themeShade="BF"/>
                <w:sz w:val="16"/>
                <w:szCs w:val="16"/>
                <w:lang w:val="fr-CH"/>
              </w:rPr>
            </w:pPr>
            <w:r w:rsidRPr="00182038">
              <w:rPr>
                <w:rFonts w:ascii="Calibri" w:eastAsia="Times New Roman" w:hAnsi="Calibri" w:cs="Calibri"/>
                <w:b/>
                <w:color w:val="538135" w:themeColor="accent6" w:themeShade="BF"/>
                <w:sz w:val="16"/>
                <w:szCs w:val="16"/>
                <w:lang w:val="fr-CH"/>
              </w:rPr>
              <w:t>Analyse sexospécifique</w:t>
            </w:r>
          </w:p>
          <w:p w:rsidR="00B258D4" w:rsidRPr="00C2611C" w:rsidRDefault="00B258D4" w:rsidP="00E90EAD">
            <w:pPr>
              <w:spacing w:before="40" w:after="40"/>
              <w:rPr>
                <w:rFonts w:ascii="Calibri" w:hAnsi="Calibri" w:cs="Calibri"/>
                <w:i/>
                <w:sz w:val="16"/>
                <w:szCs w:val="16"/>
                <w:lang w:val="fr-CH"/>
              </w:rPr>
            </w:pPr>
            <w:r w:rsidRPr="00C2611C">
              <w:rPr>
                <w:rFonts w:ascii="Calibri" w:eastAsia="Times New Roman" w:hAnsi="Calibri" w:cs="Calibri"/>
                <w:i/>
                <w:sz w:val="16"/>
                <w:szCs w:val="16"/>
                <w:lang w:val="fr-CH"/>
              </w:rPr>
              <w:t>Différentes personnes sont comprises</w:t>
            </w:r>
          </w:p>
        </w:tc>
        <w:tc>
          <w:tcPr>
            <w:tcW w:w="4111" w:type="dxa"/>
            <w:tcBorders>
              <w:top w:val="single" w:sz="24" w:space="0" w:color="BF8F00" w:themeColor="accent4" w:themeShade="BF"/>
              <w:bottom w:val="dotted" w:sz="8" w:space="0" w:color="BF8F00" w:themeColor="accent4" w:themeShade="BF"/>
            </w:tcBorders>
            <w:shd w:val="clear" w:color="auto" w:fill="FFE599" w:themeFill="accent4" w:themeFillTint="66"/>
          </w:tcPr>
          <w:p w:rsidR="00B258D4" w:rsidRPr="00F10DED" w:rsidRDefault="00CA26D5" w:rsidP="00E90EAD">
            <w:pPr>
              <w:pStyle w:val="ListParagraph"/>
              <w:numPr>
                <w:ilvl w:val="0"/>
                <w:numId w:val="2"/>
              </w:numPr>
              <w:spacing w:before="40" w:after="40"/>
              <w:ind w:left="70" w:hanging="141"/>
              <w:rPr>
                <w:sz w:val="16"/>
                <w:szCs w:val="16"/>
                <w:lang w:val="fr-CH"/>
              </w:rPr>
            </w:pPr>
            <w:r w:rsidRPr="00F10DED">
              <w:rPr>
                <w:rFonts w:ascii="Calibri" w:hAnsi="Calibri" w:cs="Calibri"/>
                <w:sz w:val="16"/>
                <w:szCs w:val="16"/>
                <w:lang w:val="fr-CH"/>
              </w:rPr>
              <w:t>L’analyse sexospécifique décrit les d</w:t>
            </w:r>
            <w:r w:rsidR="00F111BD">
              <w:rPr>
                <w:rFonts w:ascii="Calibri" w:hAnsi="Calibri" w:cs="Calibri"/>
                <w:sz w:val="16"/>
                <w:szCs w:val="16"/>
                <w:lang w:val="fr-CH"/>
              </w:rPr>
              <w:t>ifférents besoins ainsi que d</w:t>
            </w:r>
            <w:bookmarkStart w:id="0" w:name="_GoBack"/>
            <w:bookmarkEnd w:id="0"/>
            <w:r w:rsidRPr="00F10DED">
              <w:rPr>
                <w:rFonts w:ascii="Calibri" w:hAnsi="Calibri" w:cs="Calibri"/>
                <w:sz w:val="16"/>
                <w:szCs w:val="16"/>
                <w:lang w:val="fr-CH"/>
              </w:rPr>
              <w:t>es dynamiques entre les femmes, les filles, les garçons et les hommes de différents groupes d’âge.</w:t>
            </w:r>
          </w:p>
        </w:tc>
        <w:tc>
          <w:tcPr>
            <w:tcW w:w="3544" w:type="dxa"/>
            <w:tcBorders>
              <w:top w:val="single" w:sz="24" w:space="0" w:color="BF8F00" w:themeColor="accent4" w:themeShade="BF"/>
              <w:bottom w:val="dotted" w:sz="8" w:space="0" w:color="BF8F00" w:themeColor="accent4" w:themeShade="BF"/>
            </w:tcBorders>
            <w:shd w:val="clear" w:color="auto" w:fill="FFE599" w:themeFill="accent4" w:themeFillTint="66"/>
          </w:tcPr>
          <w:p w:rsidR="00B258D4" w:rsidRPr="00F10DED" w:rsidRDefault="00CA26D5" w:rsidP="00E90EAD">
            <w:pPr>
              <w:pStyle w:val="ListParagraph"/>
              <w:numPr>
                <w:ilvl w:val="0"/>
                <w:numId w:val="2"/>
              </w:numPr>
              <w:spacing w:before="40" w:after="40"/>
              <w:ind w:left="70" w:hanging="141"/>
              <w:rPr>
                <w:rFonts w:ascii="Calibri" w:eastAsia="Times New Roman" w:hAnsi="Calibri" w:cs="Calibri"/>
                <w:sz w:val="16"/>
                <w:szCs w:val="16"/>
                <w:lang w:val="fr-CH"/>
              </w:rPr>
            </w:pPr>
            <w:r w:rsidRPr="00F10DED">
              <w:rPr>
                <w:rFonts w:ascii="Calibri" w:eastAsia="Times New Roman" w:hAnsi="Calibri" w:cs="Calibri"/>
                <w:sz w:val="16"/>
                <w:szCs w:val="16"/>
                <w:lang w:val="fr-CH"/>
              </w:rPr>
              <w:t>Il existe une analyse sexospécifique écrite</w:t>
            </w:r>
          </w:p>
          <w:p w:rsidR="00CA26D5" w:rsidRPr="00F10DED" w:rsidRDefault="00CA26D5" w:rsidP="00E90EAD">
            <w:pPr>
              <w:pStyle w:val="ListParagraph"/>
              <w:numPr>
                <w:ilvl w:val="0"/>
                <w:numId w:val="2"/>
              </w:numPr>
              <w:spacing w:before="40" w:after="40"/>
              <w:ind w:left="70" w:hanging="141"/>
              <w:rPr>
                <w:sz w:val="16"/>
                <w:szCs w:val="16"/>
                <w:lang w:val="fr-CH"/>
              </w:rPr>
            </w:pPr>
            <w:r w:rsidRPr="00F10DED">
              <w:rPr>
                <w:rFonts w:ascii="Calibri" w:hAnsi="Calibri" w:cs="Calibri"/>
                <w:sz w:val="16"/>
                <w:szCs w:val="16"/>
                <w:lang w:val="fr-CH"/>
              </w:rPr>
              <w:t>L’analyse définit les besoins et les dynamiques</w:t>
            </w:r>
          </w:p>
        </w:tc>
      </w:tr>
      <w:tr w:rsidR="00187CE2" w:rsidTr="00187CE2">
        <w:tc>
          <w:tcPr>
            <w:tcW w:w="1135" w:type="dxa"/>
            <w:vMerge/>
          </w:tcPr>
          <w:p w:rsidR="00B258D4" w:rsidRPr="00F438BF" w:rsidRDefault="00B258D4" w:rsidP="00B258D4">
            <w:pPr>
              <w:rPr>
                <w:iCs/>
                <w:sz w:val="18"/>
                <w:szCs w:val="18"/>
                <w:lang w:val="fr-CH"/>
              </w:rPr>
            </w:pPr>
          </w:p>
        </w:tc>
        <w:tc>
          <w:tcPr>
            <w:tcW w:w="425" w:type="dxa"/>
            <w:tcBorders>
              <w:top w:val="dotted" w:sz="8" w:space="0" w:color="BF8F00" w:themeColor="accent4" w:themeShade="BF"/>
              <w:bottom w:val="dotted" w:sz="8" w:space="0" w:color="BF8F00" w:themeColor="accent4" w:themeShade="BF"/>
            </w:tcBorders>
            <w:vAlign w:val="center"/>
          </w:tcPr>
          <w:p w:rsidR="00B258D4" w:rsidRPr="00182038" w:rsidRDefault="00B258D4" w:rsidP="00CA26D5">
            <w:pPr>
              <w:jc w:val="center"/>
              <w:rPr>
                <w:b/>
                <w:bCs/>
                <w:color w:val="538135" w:themeColor="accent6" w:themeShade="BF"/>
                <w:lang w:val="fr-CH"/>
              </w:rPr>
            </w:pPr>
            <w:r w:rsidRPr="00182038">
              <w:rPr>
                <w:b/>
                <w:bCs/>
                <w:color w:val="538135" w:themeColor="accent6" w:themeShade="BF"/>
                <w:lang w:val="fr-CH"/>
              </w:rPr>
              <w:t>B</w:t>
            </w:r>
          </w:p>
        </w:tc>
        <w:tc>
          <w:tcPr>
            <w:tcW w:w="2126" w:type="dxa"/>
            <w:tcBorders>
              <w:top w:val="dotted" w:sz="8" w:space="0" w:color="BF8F00" w:themeColor="accent4" w:themeShade="BF"/>
              <w:bottom w:val="dotted" w:sz="8" w:space="0" w:color="BF8F00" w:themeColor="accent4" w:themeShade="BF"/>
            </w:tcBorders>
            <w:vAlign w:val="center"/>
          </w:tcPr>
          <w:p w:rsidR="00B258D4" w:rsidRPr="00182038" w:rsidRDefault="00B258D4" w:rsidP="00E90EAD">
            <w:pPr>
              <w:spacing w:before="40" w:after="40"/>
              <w:rPr>
                <w:rFonts w:ascii="Calibri" w:eastAsia="Times New Roman" w:hAnsi="Calibri" w:cs="Calibri"/>
                <w:b/>
                <w:color w:val="538135" w:themeColor="accent6" w:themeShade="BF"/>
                <w:sz w:val="16"/>
                <w:szCs w:val="16"/>
                <w:lang w:val="fr-CH"/>
              </w:rPr>
            </w:pPr>
            <w:r w:rsidRPr="00182038">
              <w:rPr>
                <w:rFonts w:ascii="Calibri" w:eastAsia="Times New Roman" w:hAnsi="Calibri" w:cs="Calibri"/>
                <w:b/>
                <w:color w:val="538135" w:themeColor="accent6" w:themeShade="BF"/>
                <w:sz w:val="16"/>
                <w:szCs w:val="16"/>
                <w:lang w:val="fr-CH"/>
              </w:rPr>
              <w:t>Collecte et analyse des données ventilées par sexe et par âge</w:t>
            </w:r>
          </w:p>
          <w:p w:rsidR="00B258D4" w:rsidRPr="00C2611C" w:rsidRDefault="00B258D4" w:rsidP="00E90EAD">
            <w:pPr>
              <w:spacing w:before="40" w:after="40"/>
              <w:rPr>
                <w:rFonts w:ascii="Calibri" w:eastAsia="Times New Roman" w:hAnsi="Calibri" w:cs="Calibri"/>
                <w:b/>
                <w:sz w:val="16"/>
                <w:szCs w:val="16"/>
                <w:lang w:val="fr-CH"/>
              </w:rPr>
            </w:pPr>
            <w:r w:rsidRPr="00C2611C">
              <w:rPr>
                <w:rFonts w:ascii="Calibri" w:eastAsia="Times New Roman" w:hAnsi="Calibri" w:cs="Calibri"/>
                <w:i/>
                <w:sz w:val="16"/>
                <w:szCs w:val="16"/>
                <w:lang w:val="fr-CH"/>
              </w:rPr>
              <w:t>Les différentes personnes sont comptées</w:t>
            </w:r>
          </w:p>
        </w:tc>
        <w:tc>
          <w:tcPr>
            <w:tcW w:w="4111" w:type="dxa"/>
            <w:tcBorders>
              <w:top w:val="dotted" w:sz="8" w:space="0" w:color="BF8F00" w:themeColor="accent4" w:themeShade="BF"/>
              <w:bottom w:val="dotted" w:sz="8" w:space="0" w:color="BF8F00" w:themeColor="accent4" w:themeShade="BF"/>
            </w:tcBorders>
          </w:tcPr>
          <w:p w:rsidR="00B258D4" w:rsidRPr="00F10DED" w:rsidRDefault="00CA26D5" w:rsidP="00E90EAD">
            <w:pPr>
              <w:pStyle w:val="ListParagraph"/>
              <w:numPr>
                <w:ilvl w:val="0"/>
                <w:numId w:val="2"/>
              </w:numPr>
              <w:spacing w:before="40" w:after="40"/>
              <w:ind w:left="70" w:hanging="141"/>
              <w:rPr>
                <w:sz w:val="16"/>
                <w:szCs w:val="16"/>
                <w:lang w:val="fr-CH"/>
              </w:rPr>
            </w:pPr>
            <w:r w:rsidRPr="00F10DED">
              <w:rPr>
                <w:rFonts w:ascii="Calibri" w:eastAsia="Times New Roman" w:hAnsi="Calibri" w:cs="Calibri"/>
                <w:sz w:val="16"/>
                <w:szCs w:val="16"/>
                <w:lang w:val="fr-CH"/>
              </w:rPr>
              <w:t>Les données sur l’accès relatif sont utilisées de façon crédible et ventilées selon le sexe et l’âge.</w:t>
            </w:r>
          </w:p>
        </w:tc>
        <w:tc>
          <w:tcPr>
            <w:tcW w:w="3544" w:type="dxa"/>
            <w:tcBorders>
              <w:top w:val="dotted" w:sz="8" w:space="0" w:color="BF8F00" w:themeColor="accent4" w:themeShade="BF"/>
              <w:bottom w:val="dotted" w:sz="8" w:space="0" w:color="BF8F00" w:themeColor="accent4" w:themeShade="BF"/>
            </w:tcBorders>
          </w:tcPr>
          <w:p w:rsidR="00B258D4" w:rsidRPr="00F10DED" w:rsidRDefault="00CA26D5" w:rsidP="00E90EAD">
            <w:pPr>
              <w:pStyle w:val="ListParagraph"/>
              <w:numPr>
                <w:ilvl w:val="0"/>
                <w:numId w:val="2"/>
              </w:numPr>
              <w:spacing w:before="40" w:after="40"/>
              <w:ind w:left="70" w:hanging="141"/>
              <w:rPr>
                <w:rFonts w:ascii="Calibri" w:eastAsia="Times New Roman" w:hAnsi="Calibri" w:cs="Calibri"/>
                <w:sz w:val="16"/>
                <w:szCs w:val="16"/>
                <w:lang w:val="fr-CH"/>
              </w:rPr>
            </w:pPr>
            <w:r w:rsidRPr="00F10DED">
              <w:rPr>
                <w:rFonts w:ascii="Calibri" w:eastAsia="Times New Roman" w:hAnsi="Calibri" w:cs="Calibri"/>
                <w:sz w:val="16"/>
                <w:szCs w:val="16"/>
                <w:lang w:val="fr-CH"/>
              </w:rPr>
              <w:t>Les taux d’accès à l’assistance sont collectés</w:t>
            </w:r>
          </w:p>
          <w:p w:rsidR="00CA26D5" w:rsidRPr="00F10DED" w:rsidRDefault="00CA26D5" w:rsidP="00E90EAD">
            <w:pPr>
              <w:pStyle w:val="ListParagraph"/>
              <w:numPr>
                <w:ilvl w:val="0"/>
                <w:numId w:val="2"/>
              </w:numPr>
              <w:spacing w:before="40" w:after="40"/>
              <w:ind w:left="70" w:hanging="141"/>
              <w:rPr>
                <w:sz w:val="16"/>
                <w:szCs w:val="16"/>
                <w:lang w:val="fr-CH"/>
              </w:rPr>
            </w:pPr>
            <w:r w:rsidRPr="00F10DED">
              <w:rPr>
                <w:rFonts w:ascii="Calibri" w:eastAsia="Times New Roman" w:hAnsi="Calibri" w:cs="Calibri"/>
                <w:sz w:val="16"/>
                <w:szCs w:val="16"/>
                <w:lang w:val="fr-CH"/>
              </w:rPr>
              <w:t>Les données sont ventilées selon le sexe et l’âge d’une façon significative</w:t>
            </w:r>
          </w:p>
        </w:tc>
      </w:tr>
      <w:tr w:rsidR="00187CE2" w:rsidTr="00187CE2">
        <w:tc>
          <w:tcPr>
            <w:tcW w:w="1135" w:type="dxa"/>
            <w:vMerge/>
            <w:tcBorders>
              <w:bottom w:val="single" w:sz="24" w:space="0" w:color="BF8F00" w:themeColor="accent4" w:themeShade="BF"/>
            </w:tcBorders>
          </w:tcPr>
          <w:p w:rsidR="00B258D4" w:rsidRPr="00F438BF" w:rsidRDefault="00B258D4" w:rsidP="00B258D4">
            <w:pPr>
              <w:rPr>
                <w:iCs/>
                <w:sz w:val="18"/>
                <w:szCs w:val="18"/>
                <w:lang w:val="fr-CH"/>
              </w:rPr>
            </w:pPr>
          </w:p>
        </w:tc>
        <w:tc>
          <w:tcPr>
            <w:tcW w:w="425" w:type="dxa"/>
            <w:tcBorders>
              <w:top w:val="dotted" w:sz="8" w:space="0" w:color="BF8F00" w:themeColor="accent4" w:themeShade="BF"/>
              <w:bottom w:val="single" w:sz="24" w:space="0" w:color="BF8F00" w:themeColor="accent4" w:themeShade="BF"/>
            </w:tcBorders>
            <w:vAlign w:val="center"/>
          </w:tcPr>
          <w:p w:rsidR="00B258D4" w:rsidRPr="00182038" w:rsidRDefault="00B258D4" w:rsidP="00CA26D5">
            <w:pPr>
              <w:jc w:val="center"/>
              <w:rPr>
                <w:b/>
                <w:bCs/>
                <w:color w:val="538135" w:themeColor="accent6" w:themeShade="BF"/>
                <w:lang w:val="fr-CH"/>
              </w:rPr>
            </w:pPr>
            <w:r w:rsidRPr="00182038">
              <w:rPr>
                <w:b/>
                <w:bCs/>
                <w:color w:val="538135" w:themeColor="accent6" w:themeShade="BF"/>
                <w:lang w:val="fr-CH"/>
              </w:rPr>
              <w:t>C</w:t>
            </w:r>
          </w:p>
        </w:tc>
        <w:tc>
          <w:tcPr>
            <w:tcW w:w="2126" w:type="dxa"/>
            <w:tcBorders>
              <w:top w:val="dotted" w:sz="8" w:space="0" w:color="BF8F00" w:themeColor="accent4" w:themeShade="BF"/>
              <w:bottom w:val="single" w:sz="24" w:space="0" w:color="BF8F00" w:themeColor="accent4" w:themeShade="BF"/>
            </w:tcBorders>
            <w:vAlign w:val="center"/>
          </w:tcPr>
          <w:p w:rsidR="00B258D4" w:rsidRPr="00182038" w:rsidRDefault="00B258D4" w:rsidP="00E90EAD">
            <w:pPr>
              <w:spacing w:before="40" w:after="40"/>
              <w:rPr>
                <w:rFonts w:ascii="Calibri" w:eastAsia="Times New Roman" w:hAnsi="Calibri" w:cs="Calibri"/>
                <w:b/>
                <w:color w:val="538135" w:themeColor="accent6" w:themeShade="BF"/>
                <w:sz w:val="16"/>
                <w:szCs w:val="16"/>
                <w:lang w:val="fr-CH"/>
              </w:rPr>
            </w:pPr>
            <w:r w:rsidRPr="00182038">
              <w:rPr>
                <w:rFonts w:ascii="Calibri" w:eastAsia="Times New Roman" w:hAnsi="Calibri" w:cs="Calibri"/>
                <w:b/>
                <w:color w:val="538135" w:themeColor="accent6" w:themeShade="BF"/>
                <w:sz w:val="16"/>
                <w:szCs w:val="16"/>
                <w:lang w:val="fr-CH"/>
              </w:rPr>
              <w:t>Bon ciblage</w:t>
            </w:r>
          </w:p>
          <w:p w:rsidR="00B258D4" w:rsidRPr="00C2611C" w:rsidRDefault="00B258D4" w:rsidP="00E90EAD">
            <w:pPr>
              <w:spacing w:before="40" w:after="40"/>
              <w:rPr>
                <w:rFonts w:ascii="Calibri" w:hAnsi="Calibri" w:cs="Calibri"/>
                <w:i/>
                <w:sz w:val="16"/>
                <w:szCs w:val="16"/>
                <w:lang w:val="fr-CH"/>
              </w:rPr>
            </w:pPr>
            <w:r w:rsidRPr="00C2611C">
              <w:rPr>
                <w:rFonts w:ascii="Calibri" w:eastAsia="Times New Roman" w:hAnsi="Calibri" w:cs="Calibri"/>
                <w:i/>
                <w:sz w:val="16"/>
                <w:szCs w:val="16"/>
                <w:lang w:val="fr-CH"/>
              </w:rPr>
              <w:t>Les personnes appropriées obtiennent les ressources</w:t>
            </w:r>
          </w:p>
        </w:tc>
        <w:tc>
          <w:tcPr>
            <w:tcW w:w="4111" w:type="dxa"/>
            <w:tcBorders>
              <w:top w:val="dotted" w:sz="8" w:space="0" w:color="BF8F00" w:themeColor="accent4" w:themeShade="BF"/>
              <w:bottom w:val="single" w:sz="24" w:space="0" w:color="BF8F00" w:themeColor="accent4" w:themeShade="BF"/>
            </w:tcBorders>
          </w:tcPr>
          <w:p w:rsidR="00B258D4" w:rsidRPr="00F10DED" w:rsidRDefault="00CA26D5" w:rsidP="00E90EAD">
            <w:pPr>
              <w:pStyle w:val="ListParagraph"/>
              <w:numPr>
                <w:ilvl w:val="0"/>
                <w:numId w:val="2"/>
              </w:numPr>
              <w:spacing w:before="40" w:after="40"/>
              <w:ind w:left="70" w:hanging="141"/>
              <w:rPr>
                <w:sz w:val="16"/>
                <w:szCs w:val="16"/>
                <w:lang w:val="fr-CH"/>
              </w:rPr>
            </w:pPr>
            <w:r w:rsidRPr="00F10DED">
              <w:rPr>
                <w:rFonts w:ascii="Calibri" w:eastAsia="Times New Roman" w:hAnsi="Calibri" w:cs="Calibri"/>
                <w:sz w:val="16"/>
                <w:szCs w:val="16"/>
                <w:lang w:val="fr-CH"/>
              </w:rPr>
              <w:t>Vous êtes capable d’atteindre ceux que vous aviez tenté d’atteindre</w:t>
            </w:r>
          </w:p>
        </w:tc>
        <w:tc>
          <w:tcPr>
            <w:tcW w:w="3544" w:type="dxa"/>
            <w:tcBorders>
              <w:top w:val="dotted" w:sz="8" w:space="0" w:color="BF8F00" w:themeColor="accent4" w:themeShade="BF"/>
              <w:bottom w:val="single" w:sz="24" w:space="0" w:color="BF8F00" w:themeColor="accent4" w:themeShade="BF"/>
            </w:tcBorders>
          </w:tcPr>
          <w:p w:rsidR="00B258D4" w:rsidRPr="00F10DED" w:rsidRDefault="00CA26D5" w:rsidP="00E90EAD">
            <w:pPr>
              <w:pStyle w:val="ListParagraph"/>
              <w:numPr>
                <w:ilvl w:val="0"/>
                <w:numId w:val="2"/>
              </w:numPr>
              <w:spacing w:before="40" w:after="40"/>
              <w:ind w:left="70" w:hanging="141"/>
              <w:rPr>
                <w:rFonts w:ascii="Calibri" w:eastAsia="Times New Roman" w:hAnsi="Calibri" w:cs="Calibri"/>
                <w:sz w:val="16"/>
                <w:szCs w:val="16"/>
                <w:lang w:val="fr-CH"/>
              </w:rPr>
            </w:pPr>
            <w:r w:rsidRPr="00F10DED">
              <w:rPr>
                <w:rFonts w:ascii="Calibri" w:eastAsia="Times New Roman" w:hAnsi="Calibri" w:cs="Calibri"/>
                <w:sz w:val="16"/>
                <w:szCs w:val="16"/>
                <w:lang w:val="fr-CH"/>
              </w:rPr>
              <w:t>Les taux d’accès sont semblables à ceux de la cible</w:t>
            </w:r>
          </w:p>
          <w:p w:rsidR="00CA26D5" w:rsidRPr="00F10DED" w:rsidRDefault="00CA26D5" w:rsidP="00E90EAD">
            <w:pPr>
              <w:pStyle w:val="ListParagraph"/>
              <w:numPr>
                <w:ilvl w:val="0"/>
                <w:numId w:val="2"/>
              </w:numPr>
              <w:spacing w:before="40" w:after="40"/>
              <w:ind w:left="70" w:hanging="141"/>
              <w:rPr>
                <w:sz w:val="16"/>
                <w:szCs w:val="16"/>
                <w:lang w:val="fr-CH"/>
              </w:rPr>
            </w:pPr>
            <w:r w:rsidRPr="00F10DED">
              <w:rPr>
                <w:rFonts w:ascii="Calibri" w:eastAsia="Times New Roman" w:hAnsi="Calibri" w:cs="Calibri"/>
                <w:sz w:val="16"/>
                <w:szCs w:val="16"/>
                <w:lang w:val="fr-CH"/>
              </w:rPr>
              <w:t>Les taux cible reposent sur l’analyse sexospécifique</w:t>
            </w:r>
          </w:p>
        </w:tc>
      </w:tr>
      <w:tr w:rsidR="00250C21" w:rsidTr="00187CE2">
        <w:tc>
          <w:tcPr>
            <w:tcW w:w="1135" w:type="dxa"/>
            <w:vMerge w:val="restart"/>
            <w:tcBorders>
              <w:top w:val="single" w:sz="24" w:space="0" w:color="BF8F00" w:themeColor="accent4" w:themeShade="BF"/>
            </w:tcBorders>
          </w:tcPr>
          <w:p w:rsidR="00B258D4" w:rsidRPr="00F438BF" w:rsidRDefault="00F438BF" w:rsidP="00B258D4">
            <w:pPr>
              <w:rPr>
                <w:iCs/>
                <w:sz w:val="18"/>
                <w:szCs w:val="18"/>
                <w:lang w:val="fr-CH"/>
              </w:rPr>
            </w:pPr>
            <w:r w:rsidRPr="00F438BF">
              <w:rPr>
                <w:b/>
                <w:bCs/>
                <w:iCs/>
                <w:color w:val="538135" w:themeColor="accent6" w:themeShade="BF"/>
                <w:sz w:val="18"/>
                <w:szCs w:val="18"/>
                <w:lang w:val="fr-CH"/>
              </w:rPr>
              <w:t>CADRE D’</w:t>
            </w:r>
            <w:r w:rsidRPr="00F438BF">
              <w:rPr>
                <w:rFonts w:cstheme="minorHAnsi"/>
                <w:b/>
                <w:bCs/>
                <w:iCs/>
                <w:color w:val="538135" w:themeColor="accent6" w:themeShade="BF"/>
                <w:sz w:val="18"/>
                <w:szCs w:val="18"/>
                <w:lang w:val="fr-CH"/>
              </w:rPr>
              <w:t>É</w:t>
            </w:r>
            <w:r w:rsidRPr="00F438BF">
              <w:rPr>
                <w:b/>
                <w:bCs/>
                <w:iCs/>
                <w:color w:val="538135" w:themeColor="accent6" w:themeShade="BF"/>
                <w:sz w:val="18"/>
                <w:szCs w:val="18"/>
                <w:lang w:val="fr-CH"/>
              </w:rPr>
              <w:t>TUDE SUR L’ASSISTANCE ADAPT</w:t>
            </w:r>
            <w:r w:rsidRPr="00F438BF">
              <w:rPr>
                <w:rFonts w:cstheme="minorHAnsi"/>
                <w:b/>
                <w:bCs/>
                <w:iCs/>
                <w:color w:val="538135" w:themeColor="accent6" w:themeShade="BF"/>
                <w:sz w:val="18"/>
                <w:szCs w:val="18"/>
                <w:lang w:val="fr-CH"/>
              </w:rPr>
              <w:t>É</w:t>
            </w:r>
            <w:r w:rsidRPr="00F438BF">
              <w:rPr>
                <w:b/>
                <w:bCs/>
                <w:iCs/>
                <w:color w:val="538135" w:themeColor="accent6" w:themeShade="BF"/>
                <w:sz w:val="18"/>
                <w:szCs w:val="18"/>
                <w:lang w:val="fr-CH"/>
              </w:rPr>
              <w:t>E</w:t>
            </w:r>
            <w:r w:rsidRPr="00F438BF">
              <w:rPr>
                <w:iCs/>
                <w:color w:val="538135" w:themeColor="accent6" w:themeShade="BF"/>
                <w:sz w:val="18"/>
                <w:szCs w:val="18"/>
                <w:lang w:val="fr-CH"/>
              </w:rPr>
              <w:t xml:space="preserve"> </w:t>
            </w:r>
            <w:r w:rsidR="00B258D4" w:rsidRPr="00382CB9">
              <w:rPr>
                <w:iCs/>
                <w:sz w:val="16"/>
                <w:szCs w:val="16"/>
                <w:lang w:val="fr-CH"/>
              </w:rPr>
              <w:t>Quelles mesures devrions-nous prendre ?</w:t>
            </w:r>
          </w:p>
        </w:tc>
        <w:tc>
          <w:tcPr>
            <w:tcW w:w="425" w:type="dxa"/>
            <w:tcBorders>
              <w:top w:val="single" w:sz="24" w:space="0" w:color="BF8F00" w:themeColor="accent4" w:themeShade="BF"/>
              <w:bottom w:val="dotted" w:sz="8" w:space="0" w:color="BF8F00" w:themeColor="accent4" w:themeShade="BF"/>
            </w:tcBorders>
            <w:shd w:val="clear" w:color="auto" w:fill="FFE599" w:themeFill="accent4" w:themeFillTint="66"/>
            <w:vAlign w:val="center"/>
          </w:tcPr>
          <w:p w:rsidR="00B258D4" w:rsidRPr="00182038" w:rsidRDefault="00B258D4" w:rsidP="00CA26D5">
            <w:pPr>
              <w:jc w:val="center"/>
              <w:rPr>
                <w:b/>
                <w:bCs/>
                <w:color w:val="538135" w:themeColor="accent6" w:themeShade="BF"/>
                <w:lang w:val="fr-CH"/>
              </w:rPr>
            </w:pPr>
            <w:r w:rsidRPr="00182038">
              <w:rPr>
                <w:b/>
                <w:bCs/>
                <w:color w:val="538135" w:themeColor="accent6" w:themeShade="BF"/>
                <w:lang w:val="fr-CH"/>
              </w:rPr>
              <w:t>D</w:t>
            </w:r>
          </w:p>
        </w:tc>
        <w:tc>
          <w:tcPr>
            <w:tcW w:w="2126" w:type="dxa"/>
            <w:tcBorders>
              <w:top w:val="single" w:sz="24" w:space="0" w:color="BF8F00" w:themeColor="accent4" w:themeShade="BF"/>
              <w:bottom w:val="dotted" w:sz="8" w:space="0" w:color="BF8F00" w:themeColor="accent4" w:themeShade="BF"/>
            </w:tcBorders>
            <w:shd w:val="clear" w:color="auto" w:fill="FFE599" w:themeFill="accent4" w:themeFillTint="66"/>
            <w:vAlign w:val="center"/>
          </w:tcPr>
          <w:p w:rsidR="00B258D4" w:rsidRPr="00182038" w:rsidRDefault="00B258D4" w:rsidP="00E90EAD">
            <w:pPr>
              <w:spacing w:before="40" w:after="40"/>
              <w:rPr>
                <w:rFonts w:ascii="Calibri" w:hAnsi="Calibri" w:cs="Calibri"/>
                <w:b/>
                <w:color w:val="538135" w:themeColor="accent6" w:themeShade="BF"/>
                <w:sz w:val="16"/>
                <w:szCs w:val="16"/>
                <w:lang w:val="fr-CH"/>
              </w:rPr>
            </w:pPr>
            <w:r w:rsidRPr="00182038">
              <w:rPr>
                <w:rFonts w:ascii="Calibri" w:hAnsi="Calibri" w:cs="Calibri"/>
                <w:b/>
                <w:color w:val="538135" w:themeColor="accent6" w:themeShade="BF"/>
                <w:sz w:val="16"/>
                <w:szCs w:val="16"/>
                <w:lang w:val="fr-CH"/>
              </w:rPr>
              <w:t xml:space="preserve">Activités </w:t>
            </w:r>
            <w:r w:rsidRPr="00182038">
              <w:rPr>
                <w:rFonts w:ascii="Calibri" w:hAnsi="Calibri" w:cs="Calibri"/>
                <w:b/>
                <w:bCs/>
                <w:color w:val="538135" w:themeColor="accent6" w:themeShade="BF"/>
                <w:sz w:val="16"/>
                <w:szCs w:val="16"/>
                <w:lang w:val="fr-CH"/>
              </w:rPr>
              <w:t>ciblées</w:t>
            </w:r>
          </w:p>
          <w:p w:rsidR="00B258D4" w:rsidRPr="00025E00" w:rsidRDefault="00B258D4" w:rsidP="00E90EAD">
            <w:pPr>
              <w:spacing w:before="40" w:after="40"/>
              <w:rPr>
                <w:rFonts w:ascii="Calibri" w:hAnsi="Calibri" w:cs="Calibri"/>
                <w:i/>
                <w:sz w:val="16"/>
                <w:szCs w:val="16"/>
                <w:lang w:val="fr-CH"/>
              </w:rPr>
            </w:pPr>
            <w:r w:rsidRPr="00025E00">
              <w:rPr>
                <w:rFonts w:ascii="Calibri" w:hAnsi="Calibri" w:cs="Calibri"/>
                <w:i/>
                <w:sz w:val="16"/>
                <w:szCs w:val="16"/>
                <w:lang w:val="fr-CH"/>
              </w:rPr>
              <w:t>Les personnes obtiennent les ressources appropriées</w:t>
            </w:r>
          </w:p>
          <w:p w:rsidR="00B258D4" w:rsidRPr="00025E00" w:rsidRDefault="00B258D4" w:rsidP="00E90EAD">
            <w:pPr>
              <w:spacing w:before="40" w:after="40"/>
              <w:rPr>
                <w:rFonts w:ascii="Calibri" w:hAnsi="Calibri" w:cs="Calibri"/>
                <w:sz w:val="16"/>
                <w:szCs w:val="16"/>
                <w:lang w:val="fr-CH"/>
              </w:rPr>
            </w:pPr>
          </w:p>
        </w:tc>
        <w:tc>
          <w:tcPr>
            <w:tcW w:w="4111" w:type="dxa"/>
            <w:tcBorders>
              <w:top w:val="single" w:sz="24" w:space="0" w:color="BF8F00" w:themeColor="accent4" w:themeShade="BF"/>
              <w:bottom w:val="dotted" w:sz="8" w:space="0" w:color="BF8F00" w:themeColor="accent4" w:themeShade="BF"/>
            </w:tcBorders>
            <w:shd w:val="clear" w:color="auto" w:fill="FFE599" w:themeFill="accent4" w:themeFillTint="66"/>
          </w:tcPr>
          <w:p w:rsidR="00B258D4" w:rsidRPr="00F10DED" w:rsidRDefault="00CA26D5" w:rsidP="00E90EAD">
            <w:pPr>
              <w:pStyle w:val="ListParagraph"/>
              <w:numPr>
                <w:ilvl w:val="0"/>
                <w:numId w:val="2"/>
              </w:numPr>
              <w:spacing w:before="40" w:after="40"/>
              <w:ind w:left="70" w:hanging="141"/>
              <w:rPr>
                <w:rFonts w:ascii="Calibri" w:hAnsi="Calibri" w:cs="Calibri"/>
                <w:sz w:val="16"/>
                <w:szCs w:val="16"/>
                <w:lang w:val="fr-CH"/>
              </w:rPr>
            </w:pPr>
            <w:r w:rsidRPr="00F10DED">
              <w:rPr>
                <w:rFonts w:ascii="Calibri" w:hAnsi="Calibri" w:cs="Calibri"/>
                <w:sz w:val="16"/>
                <w:szCs w:val="16"/>
                <w:lang w:val="fr-CH"/>
              </w:rPr>
              <w:t>Les activités et les ressources sont adaptées aux différents besoins, rôles et préférences des femmes, filles, garçons et hommes de différents groupes d’âge.</w:t>
            </w:r>
          </w:p>
          <w:p w:rsidR="00CA26D5" w:rsidRPr="00F10DED" w:rsidRDefault="00CA26D5" w:rsidP="00E90EAD">
            <w:pPr>
              <w:pStyle w:val="ListParagraph"/>
              <w:numPr>
                <w:ilvl w:val="0"/>
                <w:numId w:val="2"/>
              </w:numPr>
              <w:spacing w:before="40" w:after="40"/>
              <w:ind w:left="70" w:hanging="141"/>
              <w:rPr>
                <w:sz w:val="16"/>
                <w:szCs w:val="16"/>
                <w:lang w:val="fr-CH"/>
              </w:rPr>
            </w:pPr>
            <w:r w:rsidRPr="00F10DED">
              <w:rPr>
                <w:rFonts w:ascii="Calibri" w:hAnsi="Calibri" w:cs="Calibri"/>
                <w:sz w:val="16"/>
                <w:szCs w:val="16"/>
                <w:lang w:val="fr-CH"/>
              </w:rPr>
              <w:t>Les activités ciblées sont adaptées aux besoins et aux désirs des femmes, des filles ou des garçons et des hommes de différents groupes d’âge pour atteindre l’objectif pour lequel elles ont été conçues : mettre fin à la discrimination.</w:t>
            </w:r>
          </w:p>
        </w:tc>
        <w:tc>
          <w:tcPr>
            <w:tcW w:w="3544" w:type="dxa"/>
            <w:tcBorders>
              <w:top w:val="single" w:sz="24" w:space="0" w:color="BF8F00" w:themeColor="accent4" w:themeShade="BF"/>
              <w:bottom w:val="dotted" w:sz="8" w:space="0" w:color="BF8F00" w:themeColor="accent4" w:themeShade="BF"/>
            </w:tcBorders>
            <w:shd w:val="clear" w:color="auto" w:fill="FFE599" w:themeFill="accent4" w:themeFillTint="66"/>
          </w:tcPr>
          <w:p w:rsidR="00B258D4" w:rsidRPr="00F10DED" w:rsidRDefault="001C0338" w:rsidP="00E90EAD">
            <w:pPr>
              <w:pStyle w:val="ListParagraph"/>
              <w:numPr>
                <w:ilvl w:val="0"/>
                <w:numId w:val="2"/>
              </w:numPr>
              <w:spacing w:before="40" w:after="40"/>
              <w:ind w:left="70" w:hanging="141"/>
              <w:rPr>
                <w:rFonts w:ascii="Calibri" w:hAnsi="Calibri" w:cs="Calibri"/>
                <w:sz w:val="16"/>
                <w:szCs w:val="16"/>
                <w:lang w:val="fr-CH"/>
              </w:rPr>
            </w:pPr>
            <w:r w:rsidRPr="00F10DED">
              <w:rPr>
                <w:rFonts w:ascii="Calibri" w:hAnsi="Calibri" w:cs="Calibri"/>
                <w:sz w:val="16"/>
                <w:szCs w:val="16"/>
                <w:lang w:val="fr-CH"/>
              </w:rPr>
              <w:t>L’assistance est variée en fonction de l’analyse sexospécifique</w:t>
            </w:r>
          </w:p>
          <w:p w:rsidR="001C0338" w:rsidRPr="00F10DED" w:rsidRDefault="001C0338" w:rsidP="00E90EAD">
            <w:pPr>
              <w:pStyle w:val="ListParagraph"/>
              <w:numPr>
                <w:ilvl w:val="0"/>
                <w:numId w:val="2"/>
              </w:numPr>
              <w:spacing w:before="40" w:after="40"/>
              <w:ind w:left="70" w:hanging="141"/>
              <w:rPr>
                <w:sz w:val="16"/>
                <w:szCs w:val="16"/>
                <w:lang w:val="fr-CH"/>
              </w:rPr>
            </w:pPr>
            <w:r w:rsidRPr="00F10DED">
              <w:rPr>
                <w:rFonts w:ascii="Calibri" w:hAnsi="Calibri" w:cs="Calibri"/>
                <w:sz w:val="16"/>
                <w:szCs w:val="16"/>
                <w:lang w:val="fr-CH"/>
              </w:rPr>
              <w:t>Les actions sont ciblées afin de lutter contre la discrimination fondée sur le genre</w:t>
            </w:r>
          </w:p>
        </w:tc>
      </w:tr>
      <w:tr w:rsidR="00187CE2" w:rsidTr="00187CE2">
        <w:tc>
          <w:tcPr>
            <w:tcW w:w="1135" w:type="dxa"/>
            <w:vMerge/>
          </w:tcPr>
          <w:p w:rsidR="00B258D4" w:rsidRPr="00F438BF" w:rsidRDefault="00B258D4" w:rsidP="00B258D4">
            <w:pPr>
              <w:rPr>
                <w:iCs/>
                <w:sz w:val="18"/>
                <w:szCs w:val="18"/>
                <w:lang w:val="fr-CH"/>
              </w:rPr>
            </w:pPr>
          </w:p>
        </w:tc>
        <w:tc>
          <w:tcPr>
            <w:tcW w:w="425" w:type="dxa"/>
            <w:tcBorders>
              <w:top w:val="dotted" w:sz="8" w:space="0" w:color="BF8F00" w:themeColor="accent4" w:themeShade="BF"/>
              <w:bottom w:val="dotted" w:sz="8" w:space="0" w:color="BF8F00" w:themeColor="accent4" w:themeShade="BF"/>
            </w:tcBorders>
            <w:vAlign w:val="center"/>
          </w:tcPr>
          <w:p w:rsidR="00B258D4" w:rsidRPr="00182038" w:rsidRDefault="00B258D4" w:rsidP="00CA26D5">
            <w:pPr>
              <w:jc w:val="center"/>
              <w:rPr>
                <w:b/>
                <w:bCs/>
                <w:color w:val="538135" w:themeColor="accent6" w:themeShade="BF"/>
                <w:lang w:val="fr-CH"/>
              </w:rPr>
            </w:pPr>
            <w:r w:rsidRPr="00182038">
              <w:rPr>
                <w:b/>
                <w:bCs/>
                <w:color w:val="538135" w:themeColor="accent6" w:themeShade="BF"/>
                <w:lang w:val="fr-CH"/>
              </w:rPr>
              <w:t>E</w:t>
            </w:r>
          </w:p>
        </w:tc>
        <w:tc>
          <w:tcPr>
            <w:tcW w:w="2126" w:type="dxa"/>
            <w:tcBorders>
              <w:top w:val="dotted" w:sz="8" w:space="0" w:color="BF8F00" w:themeColor="accent4" w:themeShade="BF"/>
              <w:bottom w:val="dotted" w:sz="8" w:space="0" w:color="BF8F00" w:themeColor="accent4" w:themeShade="BF"/>
            </w:tcBorders>
            <w:vAlign w:val="center"/>
          </w:tcPr>
          <w:p w:rsidR="00CA26D5" w:rsidRPr="00182038" w:rsidRDefault="00CA26D5" w:rsidP="00E90EAD">
            <w:pPr>
              <w:spacing w:before="40" w:after="40"/>
              <w:rPr>
                <w:rFonts w:ascii="Calibri" w:hAnsi="Calibri" w:cs="Calibri"/>
                <w:b/>
                <w:bCs/>
                <w:color w:val="538135" w:themeColor="accent6" w:themeShade="BF"/>
                <w:sz w:val="16"/>
                <w:szCs w:val="16"/>
                <w:lang w:val="fr-CA"/>
              </w:rPr>
            </w:pPr>
            <w:r w:rsidRPr="00182038">
              <w:rPr>
                <w:rFonts w:ascii="Calibri" w:hAnsi="Calibri" w:cs="Calibri"/>
                <w:b/>
                <w:bCs/>
                <w:color w:val="538135" w:themeColor="accent6" w:themeShade="BF"/>
                <w:sz w:val="16"/>
                <w:szCs w:val="16"/>
                <w:lang w:val="fr-CA"/>
              </w:rPr>
              <w:t>Protection contre les VBG</w:t>
            </w:r>
          </w:p>
          <w:p w:rsidR="00B258D4" w:rsidRPr="00C2611C" w:rsidRDefault="00CA26D5" w:rsidP="00E90EAD">
            <w:pPr>
              <w:spacing w:before="40" w:after="40"/>
              <w:rPr>
                <w:rFonts w:ascii="Calibri" w:hAnsi="Calibri" w:cs="Calibri"/>
                <w:i/>
                <w:sz w:val="16"/>
                <w:szCs w:val="16"/>
                <w:lang w:val="fr-CH"/>
              </w:rPr>
            </w:pPr>
            <w:r w:rsidRPr="00025E00">
              <w:rPr>
                <w:rFonts w:ascii="Calibri" w:hAnsi="Calibri" w:cs="Calibri"/>
                <w:i/>
                <w:sz w:val="16"/>
                <w:szCs w:val="16"/>
                <w:lang w:val="fr-CH"/>
              </w:rPr>
              <w:t>Les personnes sont mieux protégées contre les risques des VBG</w:t>
            </w:r>
          </w:p>
        </w:tc>
        <w:tc>
          <w:tcPr>
            <w:tcW w:w="4111" w:type="dxa"/>
            <w:tcBorders>
              <w:top w:val="dotted" w:sz="8" w:space="0" w:color="BF8F00" w:themeColor="accent4" w:themeShade="BF"/>
              <w:bottom w:val="dotted" w:sz="8" w:space="0" w:color="BF8F00" w:themeColor="accent4" w:themeShade="BF"/>
            </w:tcBorders>
          </w:tcPr>
          <w:p w:rsidR="00B258D4" w:rsidRPr="00F10DED" w:rsidRDefault="00CA26D5" w:rsidP="00E90EAD">
            <w:pPr>
              <w:pStyle w:val="ListParagraph"/>
              <w:numPr>
                <w:ilvl w:val="0"/>
                <w:numId w:val="2"/>
              </w:numPr>
              <w:spacing w:before="40" w:after="40"/>
              <w:ind w:left="70" w:hanging="141"/>
              <w:rPr>
                <w:rFonts w:ascii="Calibri" w:eastAsia="Times New Roman" w:hAnsi="Calibri" w:cs="Calibri"/>
                <w:sz w:val="16"/>
                <w:szCs w:val="16"/>
                <w:lang w:val="fr-CH"/>
              </w:rPr>
            </w:pPr>
            <w:r w:rsidRPr="00F10DED">
              <w:rPr>
                <w:rFonts w:ascii="Calibri" w:eastAsia="Times New Roman" w:hAnsi="Calibri" w:cs="Calibri"/>
                <w:sz w:val="16"/>
                <w:szCs w:val="16"/>
                <w:lang w:val="fr-CH"/>
              </w:rPr>
              <w:t>Il y a au moins une activité, un item ou un processus qui est conçu pour réduire les risques ou éradiquer les Violences Basées sur le Genre.</w:t>
            </w:r>
          </w:p>
          <w:p w:rsidR="00CA26D5" w:rsidRPr="00F10DED" w:rsidRDefault="001C0338" w:rsidP="00E90EAD">
            <w:pPr>
              <w:pStyle w:val="ListParagraph"/>
              <w:numPr>
                <w:ilvl w:val="0"/>
                <w:numId w:val="2"/>
              </w:numPr>
              <w:spacing w:before="40" w:after="40"/>
              <w:ind w:left="70" w:hanging="141"/>
              <w:rPr>
                <w:sz w:val="16"/>
                <w:szCs w:val="16"/>
                <w:lang w:val="fr-CH"/>
              </w:rPr>
            </w:pPr>
            <w:r w:rsidRPr="00F10DED">
              <w:rPr>
                <w:rFonts w:ascii="Calibri" w:hAnsi="Calibri" w:cs="Calibri"/>
                <w:sz w:val="16"/>
                <w:szCs w:val="16"/>
                <w:lang w:val="fr-CH"/>
              </w:rPr>
              <w:t>Le projet vise uniquement la réduction des risques ou l’éradication des Violences Basées sur le Genre.</w:t>
            </w:r>
          </w:p>
        </w:tc>
        <w:tc>
          <w:tcPr>
            <w:tcW w:w="3544" w:type="dxa"/>
            <w:tcBorders>
              <w:top w:val="dotted" w:sz="8" w:space="0" w:color="BF8F00" w:themeColor="accent4" w:themeShade="BF"/>
              <w:bottom w:val="dotted" w:sz="8" w:space="0" w:color="BF8F00" w:themeColor="accent4" w:themeShade="BF"/>
            </w:tcBorders>
          </w:tcPr>
          <w:p w:rsidR="00B258D4" w:rsidRPr="00F10DED" w:rsidRDefault="001C0338" w:rsidP="00E90EAD">
            <w:pPr>
              <w:pStyle w:val="ListParagraph"/>
              <w:numPr>
                <w:ilvl w:val="0"/>
                <w:numId w:val="2"/>
              </w:numPr>
              <w:spacing w:before="40" w:after="40"/>
              <w:ind w:left="70" w:hanging="141"/>
              <w:rPr>
                <w:sz w:val="16"/>
                <w:szCs w:val="16"/>
                <w:lang w:val="fr-CH"/>
              </w:rPr>
            </w:pPr>
            <w:r w:rsidRPr="00F10DED">
              <w:rPr>
                <w:rFonts w:ascii="Calibri" w:hAnsi="Calibri" w:cs="Calibri"/>
                <w:sz w:val="16"/>
                <w:szCs w:val="16"/>
                <w:lang w:val="fr-CH"/>
              </w:rPr>
              <w:t>La prévention ou la lutte contre les VBG est intégrée au projet ou en devient l’objectif principal</w:t>
            </w:r>
          </w:p>
        </w:tc>
      </w:tr>
      <w:tr w:rsidR="00187CE2" w:rsidTr="00187CE2">
        <w:tc>
          <w:tcPr>
            <w:tcW w:w="1135" w:type="dxa"/>
            <w:vMerge/>
            <w:tcBorders>
              <w:bottom w:val="single" w:sz="24" w:space="0" w:color="BF8F00" w:themeColor="accent4" w:themeShade="BF"/>
            </w:tcBorders>
          </w:tcPr>
          <w:p w:rsidR="00B258D4" w:rsidRPr="00F438BF" w:rsidRDefault="00B258D4" w:rsidP="00B258D4">
            <w:pPr>
              <w:rPr>
                <w:iCs/>
                <w:sz w:val="18"/>
                <w:szCs w:val="18"/>
                <w:lang w:val="fr-CH"/>
              </w:rPr>
            </w:pPr>
          </w:p>
        </w:tc>
        <w:tc>
          <w:tcPr>
            <w:tcW w:w="425" w:type="dxa"/>
            <w:tcBorders>
              <w:top w:val="dotted" w:sz="8" w:space="0" w:color="BF8F00" w:themeColor="accent4" w:themeShade="BF"/>
              <w:bottom w:val="single" w:sz="24" w:space="0" w:color="BF8F00" w:themeColor="accent4" w:themeShade="BF"/>
            </w:tcBorders>
            <w:vAlign w:val="center"/>
          </w:tcPr>
          <w:p w:rsidR="00B258D4" w:rsidRPr="00182038" w:rsidRDefault="00B258D4" w:rsidP="00CA26D5">
            <w:pPr>
              <w:jc w:val="center"/>
              <w:rPr>
                <w:b/>
                <w:bCs/>
                <w:color w:val="538135" w:themeColor="accent6" w:themeShade="BF"/>
                <w:lang w:val="fr-CH"/>
              </w:rPr>
            </w:pPr>
            <w:r w:rsidRPr="00182038">
              <w:rPr>
                <w:b/>
                <w:bCs/>
                <w:color w:val="538135" w:themeColor="accent6" w:themeShade="BF"/>
                <w:lang w:val="fr-CH"/>
              </w:rPr>
              <w:t>F</w:t>
            </w:r>
          </w:p>
        </w:tc>
        <w:tc>
          <w:tcPr>
            <w:tcW w:w="2126" w:type="dxa"/>
            <w:tcBorders>
              <w:top w:val="dotted" w:sz="8" w:space="0" w:color="BF8F00" w:themeColor="accent4" w:themeShade="BF"/>
              <w:bottom w:val="single" w:sz="24" w:space="0" w:color="BF8F00" w:themeColor="accent4" w:themeShade="BF"/>
            </w:tcBorders>
            <w:vAlign w:val="center"/>
          </w:tcPr>
          <w:p w:rsidR="00CA26D5" w:rsidRPr="00182038" w:rsidRDefault="00CA26D5" w:rsidP="00E90EAD">
            <w:pPr>
              <w:spacing w:before="40" w:after="40"/>
              <w:rPr>
                <w:rFonts w:ascii="Calibri" w:eastAsia="Times New Roman" w:hAnsi="Calibri" w:cs="Calibri"/>
                <w:b/>
                <w:color w:val="538135" w:themeColor="accent6" w:themeShade="BF"/>
                <w:sz w:val="16"/>
                <w:szCs w:val="16"/>
                <w:lang w:val="fr-CH"/>
              </w:rPr>
            </w:pPr>
            <w:r w:rsidRPr="00182038">
              <w:rPr>
                <w:rFonts w:ascii="Calibri" w:eastAsia="Times New Roman" w:hAnsi="Calibri" w:cs="Calibri"/>
                <w:b/>
                <w:color w:val="538135" w:themeColor="accent6" w:themeShade="BF"/>
                <w:sz w:val="16"/>
                <w:szCs w:val="16"/>
                <w:lang w:val="fr-CH"/>
              </w:rPr>
              <w:t>Coordination avec les autres</w:t>
            </w:r>
          </w:p>
          <w:p w:rsidR="00B258D4" w:rsidRPr="00C2611C" w:rsidRDefault="00CA26D5" w:rsidP="00E90EAD">
            <w:pPr>
              <w:spacing w:before="40" w:after="40"/>
              <w:rPr>
                <w:rFonts w:ascii="Calibri" w:eastAsia="Times New Roman" w:hAnsi="Calibri" w:cs="Calibri"/>
                <w:b/>
                <w:sz w:val="16"/>
                <w:szCs w:val="16"/>
                <w:lang w:val="fr-CH"/>
              </w:rPr>
            </w:pPr>
            <w:r w:rsidRPr="00025E00">
              <w:rPr>
                <w:rFonts w:ascii="Calibri" w:eastAsia="Times New Roman" w:hAnsi="Calibri" w:cs="Calibri"/>
                <w:i/>
                <w:sz w:val="16"/>
                <w:szCs w:val="16"/>
                <w:lang w:val="fr-CH"/>
              </w:rPr>
              <w:t>L’agence coordonne avec les autres acteurs</w:t>
            </w:r>
          </w:p>
        </w:tc>
        <w:tc>
          <w:tcPr>
            <w:tcW w:w="4111" w:type="dxa"/>
            <w:tcBorders>
              <w:top w:val="dotted" w:sz="8" w:space="0" w:color="BF8F00" w:themeColor="accent4" w:themeShade="BF"/>
              <w:bottom w:val="single" w:sz="24" w:space="0" w:color="BF8F00" w:themeColor="accent4" w:themeShade="BF"/>
            </w:tcBorders>
          </w:tcPr>
          <w:p w:rsidR="00B258D4" w:rsidRPr="00F10DED" w:rsidRDefault="001C0338" w:rsidP="00E90EAD">
            <w:pPr>
              <w:pStyle w:val="ListParagraph"/>
              <w:numPr>
                <w:ilvl w:val="0"/>
                <w:numId w:val="2"/>
              </w:numPr>
              <w:spacing w:before="40" w:after="40"/>
              <w:ind w:left="70" w:hanging="141"/>
              <w:rPr>
                <w:sz w:val="16"/>
                <w:szCs w:val="16"/>
                <w:lang w:val="fr-CH"/>
              </w:rPr>
            </w:pPr>
            <w:r w:rsidRPr="00F10DED">
              <w:rPr>
                <w:rFonts w:ascii="Calibri" w:eastAsia="Times New Roman" w:hAnsi="Calibri" w:cs="Calibri"/>
                <w:sz w:val="16"/>
                <w:szCs w:val="16"/>
                <w:lang w:val="fr-CH"/>
              </w:rPr>
              <w:t>L’agence met à la disposition des membres du secteur et des clusters l’analyse sexospécifique qu’elle a effectuée, les taux ainsi que les réussites identifiées, que l’on retrouve dans les procès-verbaux.</w:t>
            </w:r>
          </w:p>
        </w:tc>
        <w:tc>
          <w:tcPr>
            <w:tcW w:w="3544" w:type="dxa"/>
            <w:tcBorders>
              <w:top w:val="dotted" w:sz="8" w:space="0" w:color="BF8F00" w:themeColor="accent4" w:themeShade="BF"/>
              <w:bottom w:val="single" w:sz="24" w:space="0" w:color="BF8F00" w:themeColor="accent4" w:themeShade="BF"/>
            </w:tcBorders>
          </w:tcPr>
          <w:p w:rsidR="00B258D4" w:rsidRPr="00F10DED" w:rsidRDefault="001C0338" w:rsidP="00E90EAD">
            <w:pPr>
              <w:pStyle w:val="ListParagraph"/>
              <w:numPr>
                <w:ilvl w:val="0"/>
                <w:numId w:val="2"/>
              </w:numPr>
              <w:spacing w:before="40" w:after="40"/>
              <w:ind w:left="70" w:hanging="141"/>
              <w:rPr>
                <w:sz w:val="16"/>
                <w:szCs w:val="16"/>
                <w:lang w:val="fr-CH"/>
              </w:rPr>
            </w:pPr>
            <w:r w:rsidRPr="00F10DED">
              <w:rPr>
                <w:rFonts w:ascii="Calibri" w:eastAsia="Times New Roman" w:hAnsi="Calibri" w:cs="Calibri"/>
                <w:sz w:val="16"/>
                <w:szCs w:val="16"/>
                <w:lang w:val="fr-CH"/>
              </w:rPr>
              <w:t>L’agence partage les données du projet avec le secteur</w:t>
            </w:r>
          </w:p>
        </w:tc>
      </w:tr>
      <w:tr w:rsidR="00250C21" w:rsidTr="00187CE2">
        <w:tc>
          <w:tcPr>
            <w:tcW w:w="1135" w:type="dxa"/>
            <w:vMerge w:val="restart"/>
            <w:tcBorders>
              <w:top w:val="single" w:sz="24" w:space="0" w:color="BF8F00" w:themeColor="accent4" w:themeShade="BF"/>
            </w:tcBorders>
          </w:tcPr>
          <w:p w:rsidR="00B258D4" w:rsidRPr="00F438BF" w:rsidRDefault="00F438BF" w:rsidP="00B258D4">
            <w:pPr>
              <w:rPr>
                <w:iCs/>
                <w:sz w:val="18"/>
                <w:szCs w:val="18"/>
                <w:lang w:val="fr-CH"/>
              </w:rPr>
            </w:pPr>
            <w:r w:rsidRPr="00F438BF">
              <w:rPr>
                <w:rFonts w:cstheme="minorHAnsi"/>
                <w:b/>
                <w:iCs/>
                <w:color w:val="538135" w:themeColor="accent6" w:themeShade="BF"/>
                <w:sz w:val="18"/>
                <w:szCs w:val="18"/>
                <w:lang w:val="fr-CH"/>
              </w:rPr>
              <w:t xml:space="preserve">CADRE D’ÉTUDE SUR LA PARTICIPATION ADÉQUATE </w:t>
            </w:r>
            <w:r w:rsidR="00B258D4" w:rsidRPr="00382CB9">
              <w:rPr>
                <w:rFonts w:cstheme="minorHAnsi"/>
                <w:iCs/>
                <w:sz w:val="16"/>
                <w:szCs w:val="16"/>
                <w:lang w:val="fr-CH"/>
              </w:rPr>
              <w:t>Comment travaillons-nous ensemble ?</w:t>
            </w:r>
          </w:p>
        </w:tc>
        <w:tc>
          <w:tcPr>
            <w:tcW w:w="425" w:type="dxa"/>
            <w:tcBorders>
              <w:top w:val="single" w:sz="24" w:space="0" w:color="BF8F00" w:themeColor="accent4" w:themeShade="BF"/>
              <w:bottom w:val="dotted" w:sz="8" w:space="0" w:color="BF8F00" w:themeColor="accent4" w:themeShade="BF"/>
            </w:tcBorders>
            <w:shd w:val="clear" w:color="auto" w:fill="FFE599" w:themeFill="accent4" w:themeFillTint="66"/>
            <w:vAlign w:val="center"/>
          </w:tcPr>
          <w:p w:rsidR="00B258D4" w:rsidRPr="00182038" w:rsidRDefault="00B258D4" w:rsidP="00CA26D5">
            <w:pPr>
              <w:jc w:val="center"/>
              <w:rPr>
                <w:b/>
                <w:bCs/>
                <w:color w:val="538135" w:themeColor="accent6" w:themeShade="BF"/>
                <w:lang w:val="fr-CH"/>
              </w:rPr>
            </w:pPr>
            <w:r w:rsidRPr="00182038">
              <w:rPr>
                <w:b/>
                <w:bCs/>
                <w:color w:val="538135" w:themeColor="accent6" w:themeShade="BF"/>
                <w:lang w:val="fr-CH"/>
              </w:rPr>
              <w:t>G</w:t>
            </w:r>
          </w:p>
        </w:tc>
        <w:tc>
          <w:tcPr>
            <w:tcW w:w="2126" w:type="dxa"/>
            <w:tcBorders>
              <w:top w:val="single" w:sz="24" w:space="0" w:color="BF8F00" w:themeColor="accent4" w:themeShade="BF"/>
              <w:bottom w:val="dotted" w:sz="8" w:space="0" w:color="BF8F00" w:themeColor="accent4" w:themeShade="BF"/>
            </w:tcBorders>
            <w:shd w:val="clear" w:color="auto" w:fill="FFE599" w:themeFill="accent4" w:themeFillTint="66"/>
          </w:tcPr>
          <w:p w:rsidR="00CA26D5" w:rsidRPr="00182038" w:rsidRDefault="00CA26D5" w:rsidP="00E90EAD">
            <w:pPr>
              <w:spacing w:before="40" w:after="40"/>
              <w:rPr>
                <w:rFonts w:eastAsia="Times New Roman" w:cstheme="minorHAnsi"/>
                <w:b/>
                <w:color w:val="538135" w:themeColor="accent6" w:themeShade="BF"/>
                <w:sz w:val="16"/>
                <w:szCs w:val="16"/>
                <w:lang w:val="fr-CH"/>
              </w:rPr>
            </w:pPr>
            <w:r w:rsidRPr="00182038">
              <w:rPr>
                <w:rFonts w:eastAsia="Times New Roman" w:cstheme="minorHAnsi"/>
                <w:b/>
                <w:color w:val="538135" w:themeColor="accent6" w:themeShade="BF"/>
                <w:sz w:val="16"/>
                <w:szCs w:val="16"/>
                <w:lang w:val="fr-CH"/>
              </w:rPr>
              <w:t>Influence sur le projet</w:t>
            </w:r>
          </w:p>
          <w:p w:rsidR="00B258D4" w:rsidRDefault="00CA26D5" w:rsidP="00E90EAD">
            <w:pPr>
              <w:spacing w:before="40" w:after="40"/>
              <w:rPr>
                <w:lang w:val="fr-CH"/>
              </w:rPr>
            </w:pPr>
            <w:r w:rsidRPr="00415528">
              <w:rPr>
                <w:rFonts w:eastAsia="Times New Roman" w:cstheme="minorHAnsi"/>
                <w:i/>
                <w:sz w:val="16"/>
                <w:szCs w:val="16"/>
                <w:lang w:val="fr-CH"/>
              </w:rPr>
              <w:t xml:space="preserve">Les personnes influent sur les </w:t>
            </w:r>
            <w:proofErr w:type="spellStart"/>
            <w:r w:rsidRPr="00415528">
              <w:rPr>
                <w:rFonts w:eastAsia="Times New Roman" w:cstheme="minorHAnsi"/>
                <w:i/>
                <w:sz w:val="16"/>
                <w:szCs w:val="16"/>
                <w:lang w:val="fr-CH"/>
              </w:rPr>
              <w:t>decisions</w:t>
            </w:r>
            <w:proofErr w:type="spellEnd"/>
            <w:r w:rsidRPr="00415528">
              <w:rPr>
                <w:rFonts w:eastAsia="Times New Roman" w:cstheme="minorHAnsi"/>
                <w:i/>
                <w:sz w:val="16"/>
                <w:szCs w:val="16"/>
                <w:lang w:val="fr-CH"/>
              </w:rPr>
              <w:t xml:space="preserve"> relatives aux projets</w:t>
            </w:r>
          </w:p>
        </w:tc>
        <w:tc>
          <w:tcPr>
            <w:tcW w:w="4111" w:type="dxa"/>
            <w:tcBorders>
              <w:top w:val="single" w:sz="24" w:space="0" w:color="BF8F00" w:themeColor="accent4" w:themeShade="BF"/>
              <w:bottom w:val="dotted" w:sz="8" w:space="0" w:color="BF8F00" w:themeColor="accent4" w:themeShade="BF"/>
            </w:tcBorders>
            <w:shd w:val="clear" w:color="auto" w:fill="FFE599" w:themeFill="accent4" w:themeFillTint="66"/>
          </w:tcPr>
          <w:p w:rsidR="00B258D4" w:rsidRPr="00F10DED" w:rsidRDefault="001C0338" w:rsidP="00E90EAD">
            <w:pPr>
              <w:pStyle w:val="ListParagraph"/>
              <w:numPr>
                <w:ilvl w:val="0"/>
                <w:numId w:val="2"/>
              </w:numPr>
              <w:spacing w:before="40" w:after="40"/>
              <w:ind w:left="70" w:hanging="141"/>
              <w:rPr>
                <w:sz w:val="16"/>
                <w:szCs w:val="16"/>
                <w:lang w:val="fr-CH"/>
              </w:rPr>
            </w:pPr>
            <w:r w:rsidRPr="00F10DED">
              <w:rPr>
                <w:rFonts w:eastAsia="Times New Roman" w:cstheme="minorHAnsi"/>
                <w:sz w:val="16"/>
                <w:szCs w:val="16"/>
                <w:lang w:val="fr-CH"/>
              </w:rPr>
              <w:t>Les femmes, les filles, les garçons et les hommes selon l’âge approprié participent à la conception et à l’examen du projet lorsque leurs suggestions respectives sont prises en compte.</w:t>
            </w:r>
          </w:p>
        </w:tc>
        <w:tc>
          <w:tcPr>
            <w:tcW w:w="3544" w:type="dxa"/>
            <w:tcBorders>
              <w:top w:val="single" w:sz="24" w:space="0" w:color="BF8F00" w:themeColor="accent4" w:themeShade="BF"/>
              <w:bottom w:val="dotted" w:sz="8" w:space="0" w:color="BF8F00" w:themeColor="accent4" w:themeShade="BF"/>
            </w:tcBorders>
            <w:shd w:val="clear" w:color="auto" w:fill="FFE599" w:themeFill="accent4" w:themeFillTint="66"/>
          </w:tcPr>
          <w:p w:rsidR="00B258D4" w:rsidRPr="00F10DED" w:rsidRDefault="001C0338" w:rsidP="00E90EAD">
            <w:pPr>
              <w:pStyle w:val="ListParagraph"/>
              <w:numPr>
                <w:ilvl w:val="0"/>
                <w:numId w:val="2"/>
              </w:numPr>
              <w:spacing w:before="40" w:after="40"/>
              <w:ind w:left="70" w:hanging="141"/>
              <w:rPr>
                <w:rFonts w:cstheme="minorHAnsi"/>
                <w:sz w:val="16"/>
                <w:szCs w:val="16"/>
                <w:lang w:val="fr-CH"/>
              </w:rPr>
            </w:pPr>
            <w:r w:rsidRPr="00F10DED">
              <w:rPr>
                <w:rFonts w:cstheme="minorHAnsi"/>
                <w:sz w:val="16"/>
                <w:szCs w:val="16"/>
                <w:lang w:val="fr-CH"/>
              </w:rPr>
              <w:t>Les évaluations des besoins et les examens sont influencés</w:t>
            </w:r>
          </w:p>
          <w:p w:rsidR="001C0338" w:rsidRPr="00F10DED" w:rsidRDefault="001C0338" w:rsidP="00E90EAD">
            <w:pPr>
              <w:pStyle w:val="ListParagraph"/>
              <w:numPr>
                <w:ilvl w:val="0"/>
                <w:numId w:val="2"/>
              </w:numPr>
              <w:spacing w:before="40" w:after="40"/>
              <w:ind w:left="70" w:hanging="141"/>
              <w:rPr>
                <w:sz w:val="16"/>
                <w:szCs w:val="16"/>
                <w:lang w:val="fr-CH"/>
              </w:rPr>
            </w:pPr>
            <w:r w:rsidRPr="00F10DED">
              <w:rPr>
                <w:rFonts w:eastAsia="Times New Roman" w:cstheme="minorHAnsi"/>
                <w:sz w:val="16"/>
                <w:szCs w:val="16"/>
                <w:lang w:val="fr-CH"/>
              </w:rPr>
              <w:t>Les obstacles entravant la participation sont écartés</w:t>
            </w:r>
          </w:p>
        </w:tc>
      </w:tr>
      <w:tr w:rsidR="00187CE2" w:rsidTr="00187CE2">
        <w:tc>
          <w:tcPr>
            <w:tcW w:w="1135" w:type="dxa"/>
            <w:vMerge/>
          </w:tcPr>
          <w:p w:rsidR="00B258D4" w:rsidRPr="00F438BF" w:rsidRDefault="00B258D4" w:rsidP="00B258D4">
            <w:pPr>
              <w:rPr>
                <w:iCs/>
                <w:sz w:val="18"/>
                <w:szCs w:val="18"/>
                <w:lang w:val="fr-CH"/>
              </w:rPr>
            </w:pPr>
          </w:p>
        </w:tc>
        <w:tc>
          <w:tcPr>
            <w:tcW w:w="425" w:type="dxa"/>
            <w:tcBorders>
              <w:top w:val="dotted" w:sz="8" w:space="0" w:color="BF8F00" w:themeColor="accent4" w:themeShade="BF"/>
              <w:bottom w:val="dotted" w:sz="8" w:space="0" w:color="BF8F00" w:themeColor="accent4" w:themeShade="BF"/>
            </w:tcBorders>
            <w:vAlign w:val="center"/>
          </w:tcPr>
          <w:p w:rsidR="00B258D4" w:rsidRPr="00182038" w:rsidRDefault="00B258D4" w:rsidP="00CA26D5">
            <w:pPr>
              <w:jc w:val="center"/>
              <w:rPr>
                <w:b/>
                <w:bCs/>
                <w:color w:val="538135" w:themeColor="accent6" w:themeShade="BF"/>
                <w:lang w:val="fr-CH"/>
              </w:rPr>
            </w:pPr>
            <w:r w:rsidRPr="00182038">
              <w:rPr>
                <w:b/>
                <w:bCs/>
                <w:color w:val="538135" w:themeColor="accent6" w:themeShade="BF"/>
                <w:lang w:val="fr-CH"/>
              </w:rPr>
              <w:t>H</w:t>
            </w:r>
          </w:p>
        </w:tc>
        <w:tc>
          <w:tcPr>
            <w:tcW w:w="2126" w:type="dxa"/>
            <w:tcBorders>
              <w:top w:val="dotted" w:sz="8" w:space="0" w:color="BF8F00" w:themeColor="accent4" w:themeShade="BF"/>
              <w:bottom w:val="dotted" w:sz="8" w:space="0" w:color="BF8F00" w:themeColor="accent4" w:themeShade="BF"/>
            </w:tcBorders>
          </w:tcPr>
          <w:p w:rsidR="00CA26D5" w:rsidRPr="00182038" w:rsidRDefault="00CA26D5" w:rsidP="00E90EAD">
            <w:pPr>
              <w:spacing w:before="40" w:after="40"/>
              <w:rPr>
                <w:rFonts w:eastAsia="Times New Roman" w:cstheme="minorHAnsi"/>
                <w:b/>
                <w:color w:val="538135" w:themeColor="accent6" w:themeShade="BF"/>
                <w:sz w:val="16"/>
                <w:szCs w:val="16"/>
                <w:lang w:val="fr-CH"/>
              </w:rPr>
            </w:pPr>
            <w:r w:rsidRPr="00182038">
              <w:rPr>
                <w:rFonts w:eastAsia="Times New Roman" w:cstheme="minorHAnsi"/>
                <w:b/>
                <w:color w:val="538135" w:themeColor="accent6" w:themeShade="BF"/>
                <w:sz w:val="16"/>
                <w:szCs w:val="16"/>
                <w:lang w:val="fr-CH"/>
              </w:rPr>
              <w:t xml:space="preserve">Mise en place de mécanismes de retour d’information et de gestion des plaintes </w:t>
            </w:r>
          </w:p>
          <w:p w:rsidR="00B258D4" w:rsidRDefault="00CA26D5" w:rsidP="00E90EAD">
            <w:pPr>
              <w:spacing w:before="40" w:after="40"/>
              <w:rPr>
                <w:lang w:val="fr-CH"/>
              </w:rPr>
            </w:pPr>
            <w:r w:rsidRPr="00415528">
              <w:rPr>
                <w:rFonts w:eastAsia="Times New Roman" w:cstheme="minorHAnsi"/>
                <w:i/>
                <w:sz w:val="16"/>
                <w:szCs w:val="16"/>
                <w:lang w:val="fr-CH"/>
              </w:rPr>
              <w:t>Les personnes peuvent porter plainte et être entendu</w:t>
            </w:r>
          </w:p>
        </w:tc>
        <w:tc>
          <w:tcPr>
            <w:tcW w:w="4111" w:type="dxa"/>
            <w:tcBorders>
              <w:top w:val="dotted" w:sz="8" w:space="0" w:color="BF8F00" w:themeColor="accent4" w:themeShade="BF"/>
              <w:bottom w:val="dotted" w:sz="8" w:space="0" w:color="BF8F00" w:themeColor="accent4" w:themeShade="BF"/>
            </w:tcBorders>
          </w:tcPr>
          <w:p w:rsidR="00B258D4" w:rsidRPr="00F10DED" w:rsidRDefault="001C0338" w:rsidP="00E90EAD">
            <w:pPr>
              <w:pStyle w:val="ListParagraph"/>
              <w:numPr>
                <w:ilvl w:val="0"/>
                <w:numId w:val="2"/>
              </w:numPr>
              <w:spacing w:before="40" w:after="40"/>
              <w:ind w:left="70" w:hanging="141"/>
              <w:rPr>
                <w:sz w:val="16"/>
                <w:szCs w:val="16"/>
                <w:lang w:val="fr-CH"/>
              </w:rPr>
            </w:pPr>
            <w:r w:rsidRPr="00F10DED">
              <w:rPr>
                <w:rFonts w:eastAsia="Times New Roman" w:cstheme="minorHAnsi"/>
                <w:sz w:val="16"/>
                <w:szCs w:val="16"/>
                <w:lang w:val="fr-CH"/>
              </w:rPr>
              <w:t>Il existe des procédures confidentielles permettant de porter plainte contre le projet et son personnel, prenant en considération le genre et l’âge, et le mode de prestation de services est modifié en conséquence</w:t>
            </w:r>
          </w:p>
        </w:tc>
        <w:tc>
          <w:tcPr>
            <w:tcW w:w="3544" w:type="dxa"/>
            <w:tcBorders>
              <w:top w:val="dotted" w:sz="8" w:space="0" w:color="BF8F00" w:themeColor="accent4" w:themeShade="BF"/>
              <w:bottom w:val="dotted" w:sz="8" w:space="0" w:color="BF8F00" w:themeColor="accent4" w:themeShade="BF"/>
            </w:tcBorders>
          </w:tcPr>
          <w:p w:rsidR="00B258D4" w:rsidRPr="00F10DED" w:rsidRDefault="001C0338" w:rsidP="00E90EAD">
            <w:pPr>
              <w:pStyle w:val="ListParagraph"/>
              <w:numPr>
                <w:ilvl w:val="0"/>
                <w:numId w:val="2"/>
              </w:numPr>
              <w:spacing w:before="40" w:after="40"/>
              <w:ind w:left="70" w:hanging="141"/>
              <w:rPr>
                <w:rFonts w:cstheme="minorHAnsi"/>
                <w:sz w:val="16"/>
                <w:szCs w:val="16"/>
                <w:lang w:val="fr-CH"/>
              </w:rPr>
            </w:pPr>
            <w:r w:rsidRPr="00F10DED">
              <w:rPr>
                <w:rFonts w:cstheme="minorHAnsi"/>
                <w:sz w:val="16"/>
                <w:szCs w:val="16"/>
                <w:lang w:val="fr-CH"/>
              </w:rPr>
              <w:t>Il existe des procédures pour porter plainte</w:t>
            </w:r>
            <w:r w:rsidRPr="00F10DED">
              <w:rPr>
                <w:rFonts w:cstheme="minorHAnsi"/>
                <w:sz w:val="16"/>
                <w:szCs w:val="16"/>
                <w:lang w:val="fr-CH"/>
              </w:rPr>
              <w:t>.</w:t>
            </w:r>
          </w:p>
          <w:p w:rsidR="001C0338" w:rsidRPr="00F10DED" w:rsidRDefault="001C0338" w:rsidP="00E90EAD">
            <w:pPr>
              <w:pStyle w:val="ListParagraph"/>
              <w:numPr>
                <w:ilvl w:val="0"/>
                <w:numId w:val="2"/>
              </w:numPr>
              <w:spacing w:before="40" w:after="40"/>
              <w:ind w:left="70" w:hanging="141"/>
              <w:rPr>
                <w:rFonts w:cstheme="minorHAnsi"/>
                <w:sz w:val="16"/>
                <w:szCs w:val="16"/>
                <w:lang w:val="fr-CH"/>
              </w:rPr>
            </w:pPr>
            <w:r w:rsidRPr="00F10DED">
              <w:rPr>
                <w:rFonts w:cstheme="minorHAnsi"/>
                <w:sz w:val="16"/>
                <w:szCs w:val="16"/>
                <w:lang w:val="fr-CH"/>
              </w:rPr>
              <w:t>Les politiques indiquent comment rendre les procédures sécurisées et confidentielles.</w:t>
            </w:r>
          </w:p>
          <w:p w:rsidR="001C0338" w:rsidRPr="00F10DED" w:rsidRDefault="001C0338" w:rsidP="00E90EAD">
            <w:pPr>
              <w:pStyle w:val="ListParagraph"/>
              <w:numPr>
                <w:ilvl w:val="0"/>
                <w:numId w:val="2"/>
              </w:numPr>
              <w:spacing w:before="40" w:after="40"/>
              <w:ind w:left="70" w:hanging="141"/>
              <w:rPr>
                <w:sz w:val="16"/>
                <w:szCs w:val="16"/>
                <w:lang w:val="fr-CH"/>
              </w:rPr>
            </w:pPr>
            <w:r w:rsidRPr="00F10DED">
              <w:rPr>
                <w:rFonts w:cstheme="minorHAnsi"/>
                <w:sz w:val="16"/>
                <w:szCs w:val="16"/>
                <w:lang w:val="fr-CH"/>
              </w:rPr>
              <w:t>Des preuves existent démontrant que les pratiques pour réagir aux réclamations ont évolué.</w:t>
            </w:r>
          </w:p>
        </w:tc>
      </w:tr>
      <w:tr w:rsidR="00187CE2" w:rsidTr="00187CE2">
        <w:tc>
          <w:tcPr>
            <w:tcW w:w="1135" w:type="dxa"/>
            <w:vMerge/>
            <w:tcBorders>
              <w:bottom w:val="single" w:sz="24" w:space="0" w:color="BF8F00" w:themeColor="accent4" w:themeShade="BF"/>
            </w:tcBorders>
          </w:tcPr>
          <w:p w:rsidR="00B258D4" w:rsidRPr="00F438BF" w:rsidRDefault="00B258D4" w:rsidP="00B258D4">
            <w:pPr>
              <w:rPr>
                <w:iCs/>
                <w:sz w:val="18"/>
                <w:szCs w:val="18"/>
                <w:lang w:val="fr-CH"/>
              </w:rPr>
            </w:pPr>
          </w:p>
        </w:tc>
        <w:tc>
          <w:tcPr>
            <w:tcW w:w="425" w:type="dxa"/>
            <w:tcBorders>
              <w:top w:val="dotted" w:sz="8" w:space="0" w:color="BF8F00" w:themeColor="accent4" w:themeShade="BF"/>
              <w:bottom w:val="single" w:sz="24" w:space="0" w:color="BF8F00" w:themeColor="accent4" w:themeShade="BF"/>
            </w:tcBorders>
            <w:vAlign w:val="center"/>
          </w:tcPr>
          <w:p w:rsidR="00B258D4" w:rsidRPr="00182038" w:rsidRDefault="00B258D4" w:rsidP="00CA26D5">
            <w:pPr>
              <w:jc w:val="center"/>
              <w:rPr>
                <w:b/>
                <w:bCs/>
                <w:color w:val="538135" w:themeColor="accent6" w:themeShade="BF"/>
                <w:lang w:val="fr-CH"/>
              </w:rPr>
            </w:pPr>
            <w:r w:rsidRPr="00182038">
              <w:rPr>
                <w:b/>
                <w:bCs/>
                <w:color w:val="538135" w:themeColor="accent6" w:themeShade="BF"/>
                <w:lang w:val="fr-CH"/>
              </w:rPr>
              <w:t>I</w:t>
            </w:r>
          </w:p>
        </w:tc>
        <w:tc>
          <w:tcPr>
            <w:tcW w:w="2126" w:type="dxa"/>
            <w:tcBorders>
              <w:top w:val="dotted" w:sz="8" w:space="0" w:color="BF8F00" w:themeColor="accent4" w:themeShade="BF"/>
              <w:bottom w:val="single" w:sz="24" w:space="0" w:color="BF8F00" w:themeColor="accent4" w:themeShade="BF"/>
            </w:tcBorders>
          </w:tcPr>
          <w:p w:rsidR="00CA26D5" w:rsidRPr="00182038" w:rsidRDefault="00CA26D5" w:rsidP="00E90EAD">
            <w:pPr>
              <w:spacing w:before="40" w:after="40"/>
              <w:rPr>
                <w:rFonts w:eastAsia="MS Mincho" w:cstheme="minorHAnsi"/>
                <w:b/>
                <w:color w:val="538135" w:themeColor="accent6" w:themeShade="BF"/>
                <w:sz w:val="16"/>
                <w:szCs w:val="16"/>
                <w:lang w:val="fr-FR"/>
              </w:rPr>
            </w:pPr>
            <w:r w:rsidRPr="00182038">
              <w:rPr>
                <w:rFonts w:cstheme="minorHAnsi"/>
                <w:b/>
                <w:color w:val="538135" w:themeColor="accent6" w:themeShade="BF"/>
                <w:sz w:val="16"/>
                <w:szCs w:val="16"/>
                <w:lang w:val="fr-CH"/>
              </w:rPr>
              <w:t>Transparence</w:t>
            </w:r>
          </w:p>
          <w:p w:rsidR="00B258D4" w:rsidRDefault="00CA26D5" w:rsidP="00E90EAD">
            <w:pPr>
              <w:spacing w:before="40" w:after="40"/>
              <w:rPr>
                <w:lang w:val="fr-CH"/>
              </w:rPr>
            </w:pPr>
            <w:r w:rsidRPr="00415528">
              <w:rPr>
                <w:rFonts w:cstheme="minorHAnsi"/>
                <w:i/>
                <w:sz w:val="16"/>
                <w:szCs w:val="16"/>
                <w:lang w:val="fr-CA"/>
              </w:rPr>
              <w:t xml:space="preserve">Les personnes </w:t>
            </w:r>
            <w:r w:rsidRPr="00415528">
              <w:rPr>
                <w:rFonts w:cstheme="minorHAnsi"/>
                <w:i/>
                <w:sz w:val="16"/>
                <w:szCs w:val="16"/>
                <w:lang w:val="fr-CH"/>
              </w:rPr>
              <w:t xml:space="preserve">reçoivent </w:t>
            </w:r>
            <w:r w:rsidRPr="00415528">
              <w:rPr>
                <w:rFonts w:cstheme="minorHAnsi"/>
                <w:i/>
                <w:sz w:val="16"/>
                <w:szCs w:val="16"/>
                <w:lang w:val="fr-CA"/>
              </w:rPr>
              <w:t>l'information dont elles ont besoin</w:t>
            </w:r>
          </w:p>
        </w:tc>
        <w:tc>
          <w:tcPr>
            <w:tcW w:w="4111" w:type="dxa"/>
            <w:tcBorders>
              <w:top w:val="dotted" w:sz="8" w:space="0" w:color="BF8F00" w:themeColor="accent4" w:themeShade="BF"/>
              <w:bottom w:val="single" w:sz="24" w:space="0" w:color="BF8F00" w:themeColor="accent4" w:themeShade="BF"/>
            </w:tcBorders>
          </w:tcPr>
          <w:p w:rsidR="00B258D4" w:rsidRPr="00F10DED" w:rsidRDefault="001C0338" w:rsidP="00E90EAD">
            <w:pPr>
              <w:pStyle w:val="ListParagraph"/>
              <w:numPr>
                <w:ilvl w:val="0"/>
                <w:numId w:val="2"/>
              </w:numPr>
              <w:spacing w:before="40" w:after="40"/>
              <w:ind w:left="70" w:hanging="141"/>
              <w:rPr>
                <w:sz w:val="16"/>
                <w:szCs w:val="16"/>
                <w:lang w:val="fr-CH"/>
              </w:rPr>
            </w:pPr>
            <w:r w:rsidRPr="00F10DED">
              <w:rPr>
                <w:rFonts w:cstheme="minorHAnsi"/>
                <w:sz w:val="16"/>
                <w:szCs w:val="16"/>
                <w:lang w:val="fr-CH"/>
              </w:rPr>
              <w:t>Vous délivrez différents messages à travers différents médias en vous appuyant sur l’analyse sexospécifique.</w:t>
            </w:r>
          </w:p>
        </w:tc>
        <w:tc>
          <w:tcPr>
            <w:tcW w:w="3544" w:type="dxa"/>
            <w:tcBorders>
              <w:top w:val="dotted" w:sz="8" w:space="0" w:color="BF8F00" w:themeColor="accent4" w:themeShade="BF"/>
              <w:bottom w:val="single" w:sz="24" w:space="0" w:color="BF8F00" w:themeColor="accent4" w:themeShade="BF"/>
            </w:tcBorders>
          </w:tcPr>
          <w:p w:rsidR="00B258D4" w:rsidRPr="00F10DED" w:rsidRDefault="001C0338" w:rsidP="00E90EAD">
            <w:pPr>
              <w:pStyle w:val="ListParagraph"/>
              <w:numPr>
                <w:ilvl w:val="0"/>
                <w:numId w:val="2"/>
              </w:numPr>
              <w:spacing w:before="40" w:after="40"/>
              <w:ind w:left="70" w:hanging="141"/>
              <w:rPr>
                <w:sz w:val="16"/>
                <w:szCs w:val="16"/>
                <w:lang w:val="fr-CH"/>
              </w:rPr>
            </w:pPr>
            <w:r w:rsidRPr="00F10DED">
              <w:rPr>
                <w:rFonts w:cstheme="minorHAnsi"/>
                <w:sz w:val="16"/>
                <w:szCs w:val="16"/>
                <w:lang w:val="fr-CH"/>
              </w:rPr>
              <w:t>Les stratégies de l’information varient en fonction du genre et de l’âge.</w:t>
            </w:r>
          </w:p>
        </w:tc>
      </w:tr>
      <w:tr w:rsidR="00250C21" w:rsidTr="00187CE2">
        <w:trPr>
          <w:trHeight w:val="960"/>
        </w:trPr>
        <w:tc>
          <w:tcPr>
            <w:tcW w:w="1135" w:type="dxa"/>
            <w:vMerge w:val="restart"/>
            <w:tcBorders>
              <w:top w:val="single" w:sz="24" w:space="0" w:color="BF8F00" w:themeColor="accent4" w:themeShade="BF"/>
            </w:tcBorders>
          </w:tcPr>
          <w:p w:rsidR="00182038" w:rsidRDefault="00F438BF" w:rsidP="00B258D4">
            <w:pPr>
              <w:rPr>
                <w:rFonts w:cstheme="minorHAnsi"/>
                <w:b/>
                <w:iCs/>
                <w:color w:val="538135" w:themeColor="accent6" w:themeShade="BF"/>
                <w:sz w:val="18"/>
                <w:szCs w:val="18"/>
                <w:lang w:val="fr-CH"/>
              </w:rPr>
            </w:pPr>
            <w:r w:rsidRPr="00F438BF">
              <w:rPr>
                <w:rFonts w:cstheme="minorHAnsi"/>
                <w:b/>
                <w:iCs/>
                <w:color w:val="538135" w:themeColor="accent6" w:themeShade="BF"/>
                <w:sz w:val="18"/>
                <w:szCs w:val="18"/>
                <w:lang w:val="fr-CH"/>
              </w:rPr>
              <w:t xml:space="preserve">CADRE D’ÉTUDE SUR L’EXAMEN </w:t>
            </w:r>
          </w:p>
          <w:p w:rsidR="00B258D4" w:rsidRPr="00382CB9" w:rsidRDefault="00B258D4" w:rsidP="00B258D4">
            <w:pPr>
              <w:rPr>
                <w:iCs/>
                <w:sz w:val="16"/>
                <w:szCs w:val="16"/>
                <w:lang w:val="fr-CH"/>
              </w:rPr>
            </w:pPr>
            <w:r w:rsidRPr="00382CB9">
              <w:rPr>
                <w:rFonts w:cstheme="minorHAnsi"/>
                <w:iCs/>
                <w:sz w:val="16"/>
                <w:szCs w:val="16"/>
                <w:lang w:val="fr-CH"/>
              </w:rPr>
              <w:t>Que faisons-nous de bien et quels changements apportons-nous ?</w:t>
            </w:r>
          </w:p>
        </w:tc>
        <w:tc>
          <w:tcPr>
            <w:tcW w:w="425" w:type="dxa"/>
            <w:tcBorders>
              <w:top w:val="single" w:sz="24" w:space="0" w:color="BF8F00" w:themeColor="accent4" w:themeShade="BF"/>
              <w:bottom w:val="dotted" w:sz="8" w:space="0" w:color="BF8F00" w:themeColor="accent4" w:themeShade="BF"/>
            </w:tcBorders>
            <w:shd w:val="clear" w:color="auto" w:fill="FFE599" w:themeFill="accent4" w:themeFillTint="66"/>
            <w:vAlign w:val="center"/>
          </w:tcPr>
          <w:p w:rsidR="00B258D4" w:rsidRPr="00182038" w:rsidRDefault="00B258D4" w:rsidP="00CA26D5">
            <w:pPr>
              <w:jc w:val="center"/>
              <w:rPr>
                <w:b/>
                <w:bCs/>
                <w:color w:val="538135" w:themeColor="accent6" w:themeShade="BF"/>
                <w:lang w:val="fr-CH"/>
              </w:rPr>
            </w:pPr>
            <w:r w:rsidRPr="00182038">
              <w:rPr>
                <w:b/>
                <w:bCs/>
                <w:color w:val="538135" w:themeColor="accent6" w:themeShade="BF"/>
                <w:lang w:val="fr-CH"/>
              </w:rPr>
              <w:t>J</w:t>
            </w:r>
          </w:p>
        </w:tc>
        <w:tc>
          <w:tcPr>
            <w:tcW w:w="2126" w:type="dxa"/>
            <w:tcBorders>
              <w:top w:val="single" w:sz="24" w:space="0" w:color="BF8F00" w:themeColor="accent4" w:themeShade="BF"/>
              <w:bottom w:val="dotted" w:sz="8" w:space="0" w:color="BF8F00" w:themeColor="accent4" w:themeShade="BF"/>
            </w:tcBorders>
            <w:shd w:val="clear" w:color="auto" w:fill="FFE599" w:themeFill="accent4" w:themeFillTint="66"/>
          </w:tcPr>
          <w:p w:rsidR="00CA26D5" w:rsidRPr="00182038" w:rsidRDefault="00CA26D5" w:rsidP="00E90EAD">
            <w:pPr>
              <w:spacing w:before="40" w:after="40"/>
              <w:rPr>
                <w:rFonts w:ascii="Calibri" w:hAnsi="Calibri" w:cs="Calibri"/>
                <w:b/>
                <w:color w:val="538135" w:themeColor="accent6" w:themeShade="BF"/>
                <w:sz w:val="16"/>
                <w:szCs w:val="16"/>
                <w:lang w:val="fr-CH"/>
              </w:rPr>
            </w:pPr>
            <w:r w:rsidRPr="00182038">
              <w:rPr>
                <w:rFonts w:ascii="Calibri" w:hAnsi="Calibri" w:cs="Calibri"/>
                <w:b/>
                <w:color w:val="538135" w:themeColor="accent6" w:themeShade="BF"/>
                <w:sz w:val="16"/>
                <w:szCs w:val="16"/>
                <w:lang w:val="fr-CH"/>
              </w:rPr>
              <w:t>Avantages</w:t>
            </w:r>
          </w:p>
          <w:p w:rsidR="00B258D4" w:rsidRDefault="00CA26D5" w:rsidP="00E90EAD">
            <w:pPr>
              <w:spacing w:before="40" w:after="40"/>
              <w:rPr>
                <w:lang w:val="fr-CH"/>
              </w:rPr>
            </w:pPr>
            <w:proofErr w:type="gramStart"/>
            <w:r w:rsidRPr="00025E00">
              <w:rPr>
                <w:rFonts w:ascii="Calibri" w:hAnsi="Calibri" w:cs="Calibri"/>
                <w:i/>
                <w:sz w:val="16"/>
                <w:szCs w:val="16"/>
                <w:lang w:val="fr-CH"/>
              </w:rPr>
              <w:t>Différents personnes</w:t>
            </w:r>
            <w:proofErr w:type="gramEnd"/>
            <w:r w:rsidRPr="00025E00">
              <w:rPr>
                <w:rFonts w:ascii="Calibri" w:hAnsi="Calibri" w:cs="Calibri"/>
                <w:i/>
                <w:sz w:val="16"/>
                <w:szCs w:val="16"/>
                <w:lang w:val="fr-CH"/>
              </w:rPr>
              <w:t xml:space="preserve"> </w:t>
            </w:r>
            <w:r w:rsidRPr="00025E00">
              <w:rPr>
                <w:rFonts w:ascii="Calibri" w:hAnsi="Calibri" w:cs="Calibri"/>
                <w:i/>
                <w:sz w:val="16"/>
                <w:szCs w:val="16"/>
                <w:lang w:val="fr-CA"/>
              </w:rPr>
              <w:t>reçoivent des avantages différents</w:t>
            </w:r>
          </w:p>
        </w:tc>
        <w:tc>
          <w:tcPr>
            <w:tcW w:w="4111" w:type="dxa"/>
            <w:tcBorders>
              <w:top w:val="single" w:sz="24" w:space="0" w:color="BF8F00" w:themeColor="accent4" w:themeShade="BF"/>
              <w:bottom w:val="dotted" w:sz="8" w:space="0" w:color="BF8F00" w:themeColor="accent4" w:themeShade="BF"/>
            </w:tcBorders>
            <w:shd w:val="clear" w:color="auto" w:fill="FFE599" w:themeFill="accent4" w:themeFillTint="66"/>
          </w:tcPr>
          <w:p w:rsidR="00B258D4" w:rsidRPr="00F10DED" w:rsidRDefault="001C0338" w:rsidP="00E90EAD">
            <w:pPr>
              <w:pStyle w:val="ListParagraph"/>
              <w:numPr>
                <w:ilvl w:val="0"/>
                <w:numId w:val="2"/>
              </w:numPr>
              <w:spacing w:before="40" w:after="40"/>
              <w:ind w:left="70" w:hanging="141"/>
              <w:rPr>
                <w:sz w:val="16"/>
                <w:szCs w:val="16"/>
                <w:lang w:val="fr-CH"/>
              </w:rPr>
            </w:pPr>
            <w:r w:rsidRPr="00F10DED">
              <w:rPr>
                <w:rFonts w:ascii="Calibri" w:hAnsi="Calibri" w:cs="Calibri"/>
                <w:sz w:val="16"/>
                <w:szCs w:val="16"/>
                <w:lang w:val="fr-CH"/>
              </w:rPr>
              <w:t>Il existe différents avantages au profit des femmes/filles et des hommes/garçons de différents groupes d’âge qui découlent des activités adaptées aux différents besoins et obstacles.</w:t>
            </w:r>
          </w:p>
        </w:tc>
        <w:tc>
          <w:tcPr>
            <w:tcW w:w="3544" w:type="dxa"/>
            <w:tcBorders>
              <w:top w:val="single" w:sz="24" w:space="0" w:color="BF8F00" w:themeColor="accent4" w:themeShade="BF"/>
              <w:bottom w:val="dotted" w:sz="8" w:space="0" w:color="BF8F00" w:themeColor="accent4" w:themeShade="BF"/>
            </w:tcBorders>
            <w:shd w:val="clear" w:color="auto" w:fill="FFE599" w:themeFill="accent4" w:themeFillTint="66"/>
          </w:tcPr>
          <w:p w:rsidR="00B258D4" w:rsidRPr="00F10DED" w:rsidRDefault="001C0338" w:rsidP="00E90EAD">
            <w:pPr>
              <w:pStyle w:val="ListParagraph"/>
              <w:numPr>
                <w:ilvl w:val="0"/>
                <w:numId w:val="2"/>
              </w:numPr>
              <w:spacing w:before="40" w:after="40"/>
              <w:ind w:left="70" w:hanging="141"/>
              <w:rPr>
                <w:sz w:val="16"/>
                <w:szCs w:val="16"/>
                <w:lang w:val="fr-CH"/>
              </w:rPr>
            </w:pPr>
            <w:r w:rsidRPr="00F10DED">
              <w:rPr>
                <w:rFonts w:ascii="Calibri" w:hAnsi="Calibri" w:cs="Calibri"/>
                <w:sz w:val="16"/>
                <w:szCs w:val="16"/>
                <w:lang w:val="fr-CH"/>
              </w:rPr>
              <w:t>Plusieurs avantages sont documentés par différents utilisateurs, lesquels sont le résultat des activités adaptées à l’analyse sexospécifique</w:t>
            </w:r>
          </w:p>
        </w:tc>
      </w:tr>
      <w:tr w:rsidR="00187CE2" w:rsidTr="00187CE2">
        <w:trPr>
          <w:trHeight w:val="839"/>
        </w:trPr>
        <w:tc>
          <w:tcPr>
            <w:tcW w:w="1135" w:type="dxa"/>
            <w:vMerge/>
          </w:tcPr>
          <w:p w:rsidR="00B258D4" w:rsidRDefault="00B258D4" w:rsidP="00B258D4">
            <w:pPr>
              <w:rPr>
                <w:lang w:val="fr-CH"/>
              </w:rPr>
            </w:pPr>
          </w:p>
        </w:tc>
        <w:tc>
          <w:tcPr>
            <w:tcW w:w="425" w:type="dxa"/>
            <w:tcBorders>
              <w:top w:val="dotted" w:sz="8" w:space="0" w:color="BF8F00" w:themeColor="accent4" w:themeShade="BF"/>
              <w:bottom w:val="dotted" w:sz="8" w:space="0" w:color="BF8F00" w:themeColor="accent4" w:themeShade="BF"/>
            </w:tcBorders>
            <w:vAlign w:val="center"/>
          </w:tcPr>
          <w:p w:rsidR="00B258D4" w:rsidRPr="00182038" w:rsidRDefault="00B258D4" w:rsidP="00CA26D5">
            <w:pPr>
              <w:jc w:val="center"/>
              <w:rPr>
                <w:b/>
                <w:bCs/>
                <w:color w:val="538135" w:themeColor="accent6" w:themeShade="BF"/>
                <w:lang w:val="fr-CH"/>
              </w:rPr>
            </w:pPr>
            <w:r w:rsidRPr="00182038">
              <w:rPr>
                <w:b/>
                <w:bCs/>
                <w:color w:val="538135" w:themeColor="accent6" w:themeShade="BF"/>
                <w:lang w:val="fr-CH"/>
              </w:rPr>
              <w:t>K</w:t>
            </w:r>
          </w:p>
        </w:tc>
        <w:tc>
          <w:tcPr>
            <w:tcW w:w="2126" w:type="dxa"/>
            <w:tcBorders>
              <w:top w:val="dotted" w:sz="8" w:space="0" w:color="BF8F00" w:themeColor="accent4" w:themeShade="BF"/>
              <w:bottom w:val="dotted" w:sz="8" w:space="0" w:color="BF8F00" w:themeColor="accent4" w:themeShade="BF"/>
            </w:tcBorders>
          </w:tcPr>
          <w:p w:rsidR="00CA26D5" w:rsidRPr="00187CE2" w:rsidRDefault="00CA26D5" w:rsidP="00E90EAD">
            <w:pPr>
              <w:spacing w:before="40" w:after="40"/>
              <w:rPr>
                <w:rFonts w:ascii="Calibri" w:hAnsi="Calibri" w:cs="Calibri"/>
                <w:b/>
                <w:color w:val="538135" w:themeColor="accent6" w:themeShade="BF"/>
                <w:sz w:val="16"/>
                <w:szCs w:val="16"/>
                <w:lang w:val="fr-CH"/>
              </w:rPr>
            </w:pPr>
            <w:r w:rsidRPr="00187CE2">
              <w:rPr>
                <w:rFonts w:ascii="Calibri" w:hAnsi="Calibri" w:cs="Calibri"/>
                <w:b/>
                <w:color w:val="538135" w:themeColor="accent6" w:themeShade="BF"/>
                <w:sz w:val="16"/>
                <w:szCs w:val="16"/>
                <w:lang w:val="fr-CH"/>
              </w:rPr>
              <w:t>Satisfaction</w:t>
            </w:r>
          </w:p>
          <w:p w:rsidR="00B258D4" w:rsidRDefault="00CA26D5" w:rsidP="00E90EAD">
            <w:pPr>
              <w:spacing w:before="40" w:after="40"/>
              <w:rPr>
                <w:lang w:val="fr-CH"/>
              </w:rPr>
            </w:pPr>
            <w:r w:rsidRPr="00025E00">
              <w:rPr>
                <w:rFonts w:ascii="Calibri" w:hAnsi="Calibri" w:cs="Calibri"/>
                <w:i/>
                <w:sz w:val="16"/>
                <w:szCs w:val="16"/>
                <w:lang w:val="fr-CA"/>
              </w:rPr>
              <w:t>Différentes personnes sont satisfaites</w:t>
            </w:r>
          </w:p>
        </w:tc>
        <w:tc>
          <w:tcPr>
            <w:tcW w:w="4111" w:type="dxa"/>
            <w:tcBorders>
              <w:top w:val="dotted" w:sz="8" w:space="0" w:color="BF8F00" w:themeColor="accent4" w:themeShade="BF"/>
              <w:bottom w:val="dotted" w:sz="8" w:space="0" w:color="BF8F00" w:themeColor="accent4" w:themeShade="BF"/>
            </w:tcBorders>
          </w:tcPr>
          <w:p w:rsidR="00B258D4" w:rsidRPr="00F10DED" w:rsidRDefault="001C0338" w:rsidP="00E90EAD">
            <w:pPr>
              <w:pStyle w:val="ListParagraph"/>
              <w:numPr>
                <w:ilvl w:val="0"/>
                <w:numId w:val="2"/>
              </w:numPr>
              <w:spacing w:before="40" w:after="40"/>
              <w:ind w:left="70" w:hanging="141"/>
              <w:rPr>
                <w:sz w:val="16"/>
                <w:szCs w:val="16"/>
                <w:lang w:val="fr-CH"/>
              </w:rPr>
            </w:pPr>
            <w:r w:rsidRPr="00F10DED">
              <w:rPr>
                <w:rFonts w:ascii="Calibri" w:hAnsi="Calibri" w:cs="Calibri"/>
                <w:sz w:val="16"/>
                <w:szCs w:val="16"/>
                <w:lang w:val="fr-CH"/>
              </w:rPr>
              <w:t xml:space="preserve">La plupart des femmes et des filles interrogées, tout comme les garçons et les hommes d’âge approprié se sont </w:t>
            </w:r>
            <w:proofErr w:type="gramStart"/>
            <w:r w:rsidRPr="00F10DED">
              <w:rPr>
                <w:rFonts w:ascii="Calibri" w:hAnsi="Calibri" w:cs="Calibri"/>
                <w:sz w:val="16"/>
                <w:szCs w:val="16"/>
                <w:lang w:val="fr-CH"/>
              </w:rPr>
              <w:t>dits</w:t>
            </w:r>
            <w:proofErr w:type="gramEnd"/>
            <w:r w:rsidRPr="00F10DED">
              <w:rPr>
                <w:rFonts w:ascii="Calibri" w:hAnsi="Calibri" w:cs="Calibri"/>
                <w:sz w:val="16"/>
                <w:szCs w:val="16"/>
                <w:lang w:val="fr-CH"/>
              </w:rPr>
              <w:t xml:space="preserve"> satisfaits du projet.</w:t>
            </w:r>
          </w:p>
        </w:tc>
        <w:tc>
          <w:tcPr>
            <w:tcW w:w="3544" w:type="dxa"/>
            <w:tcBorders>
              <w:top w:val="dotted" w:sz="8" w:space="0" w:color="BF8F00" w:themeColor="accent4" w:themeShade="BF"/>
              <w:bottom w:val="dotted" w:sz="8" w:space="0" w:color="BF8F00" w:themeColor="accent4" w:themeShade="BF"/>
            </w:tcBorders>
          </w:tcPr>
          <w:p w:rsidR="00B258D4" w:rsidRPr="00F10DED" w:rsidRDefault="001C0338" w:rsidP="00E90EAD">
            <w:pPr>
              <w:pStyle w:val="ListParagraph"/>
              <w:numPr>
                <w:ilvl w:val="0"/>
                <w:numId w:val="2"/>
              </w:numPr>
              <w:spacing w:before="40" w:after="40"/>
              <w:ind w:left="70" w:hanging="141"/>
              <w:rPr>
                <w:rFonts w:ascii="Calibri" w:hAnsi="Calibri" w:cs="Calibri"/>
                <w:sz w:val="16"/>
                <w:szCs w:val="16"/>
                <w:lang w:val="fr-CH"/>
              </w:rPr>
            </w:pPr>
            <w:r w:rsidRPr="00F10DED">
              <w:rPr>
                <w:rFonts w:ascii="Calibri" w:hAnsi="Calibri" w:cs="Calibri"/>
                <w:sz w:val="16"/>
                <w:szCs w:val="16"/>
                <w:lang w:val="fr-CH"/>
              </w:rPr>
              <w:t>Les taux de satisfaction sont recueillis</w:t>
            </w:r>
          </w:p>
          <w:p w:rsidR="001C0338" w:rsidRPr="00F10DED" w:rsidRDefault="001C0338" w:rsidP="00E90EAD">
            <w:pPr>
              <w:pStyle w:val="ListParagraph"/>
              <w:numPr>
                <w:ilvl w:val="0"/>
                <w:numId w:val="2"/>
              </w:numPr>
              <w:spacing w:before="40" w:after="40"/>
              <w:ind w:left="70" w:hanging="141"/>
              <w:rPr>
                <w:rFonts w:ascii="Calibri" w:hAnsi="Calibri" w:cs="Calibri"/>
                <w:sz w:val="16"/>
                <w:szCs w:val="16"/>
                <w:lang w:val="fr-CH"/>
              </w:rPr>
            </w:pPr>
            <w:r w:rsidRPr="00F10DED">
              <w:rPr>
                <w:rFonts w:ascii="Calibri" w:hAnsi="Calibri" w:cs="Calibri"/>
                <w:sz w:val="16"/>
                <w:szCs w:val="16"/>
                <w:lang w:val="fr-CH"/>
              </w:rPr>
              <w:t>La plupart des différents groupes sont satisfaits</w:t>
            </w:r>
          </w:p>
          <w:p w:rsidR="001C0338" w:rsidRPr="00F10DED" w:rsidRDefault="001C0338" w:rsidP="00E90EAD">
            <w:pPr>
              <w:pStyle w:val="ListParagraph"/>
              <w:numPr>
                <w:ilvl w:val="0"/>
                <w:numId w:val="2"/>
              </w:numPr>
              <w:spacing w:before="40" w:after="40"/>
              <w:ind w:left="70" w:hanging="141"/>
              <w:rPr>
                <w:sz w:val="16"/>
                <w:szCs w:val="16"/>
                <w:lang w:val="fr-CH"/>
              </w:rPr>
            </w:pPr>
            <w:r w:rsidRPr="00F10DED">
              <w:rPr>
                <w:rFonts w:ascii="Calibri" w:hAnsi="Calibri" w:cs="Calibri"/>
                <w:sz w:val="16"/>
                <w:szCs w:val="16"/>
                <w:lang w:val="fr-CH"/>
              </w:rPr>
              <w:t>Les différents groupes sont équitablement satisfaits</w:t>
            </w:r>
          </w:p>
        </w:tc>
      </w:tr>
      <w:tr w:rsidR="00187CE2" w:rsidTr="00187CE2">
        <w:tc>
          <w:tcPr>
            <w:tcW w:w="1135" w:type="dxa"/>
            <w:vMerge/>
          </w:tcPr>
          <w:p w:rsidR="00B258D4" w:rsidRDefault="00B258D4" w:rsidP="00B258D4">
            <w:pPr>
              <w:rPr>
                <w:lang w:val="fr-CH"/>
              </w:rPr>
            </w:pPr>
          </w:p>
        </w:tc>
        <w:tc>
          <w:tcPr>
            <w:tcW w:w="425" w:type="dxa"/>
            <w:tcBorders>
              <w:top w:val="dotted" w:sz="8" w:space="0" w:color="BF8F00" w:themeColor="accent4" w:themeShade="BF"/>
            </w:tcBorders>
            <w:vAlign w:val="center"/>
          </w:tcPr>
          <w:p w:rsidR="00B258D4" w:rsidRPr="00182038" w:rsidRDefault="00B258D4" w:rsidP="00CA26D5">
            <w:pPr>
              <w:jc w:val="center"/>
              <w:rPr>
                <w:b/>
                <w:bCs/>
                <w:color w:val="538135" w:themeColor="accent6" w:themeShade="BF"/>
                <w:lang w:val="fr-CH"/>
              </w:rPr>
            </w:pPr>
            <w:r w:rsidRPr="00182038">
              <w:rPr>
                <w:b/>
                <w:bCs/>
                <w:color w:val="538135" w:themeColor="accent6" w:themeShade="BF"/>
                <w:lang w:val="fr-CH"/>
              </w:rPr>
              <w:t>L</w:t>
            </w:r>
          </w:p>
        </w:tc>
        <w:tc>
          <w:tcPr>
            <w:tcW w:w="2126" w:type="dxa"/>
            <w:tcBorders>
              <w:top w:val="dotted" w:sz="8" w:space="0" w:color="BF8F00" w:themeColor="accent4" w:themeShade="BF"/>
            </w:tcBorders>
          </w:tcPr>
          <w:p w:rsidR="00CA26D5" w:rsidRPr="00182038" w:rsidRDefault="00CA26D5" w:rsidP="00E90EAD">
            <w:pPr>
              <w:spacing w:before="40" w:after="40"/>
              <w:rPr>
                <w:rFonts w:ascii="Calibri" w:hAnsi="Calibri" w:cs="Calibri"/>
                <w:b/>
                <w:color w:val="538135" w:themeColor="accent6" w:themeShade="BF"/>
                <w:sz w:val="16"/>
                <w:szCs w:val="16"/>
                <w:lang w:val="fr-CH"/>
              </w:rPr>
            </w:pPr>
            <w:r w:rsidRPr="00182038">
              <w:rPr>
                <w:rFonts w:ascii="Calibri" w:hAnsi="Calibri" w:cs="Calibri"/>
                <w:b/>
                <w:color w:val="538135" w:themeColor="accent6" w:themeShade="BF"/>
                <w:sz w:val="16"/>
                <w:szCs w:val="16"/>
                <w:lang w:val="fr-CH"/>
              </w:rPr>
              <w:t>Problèmes liés au projet</w:t>
            </w:r>
          </w:p>
          <w:p w:rsidR="00B258D4" w:rsidRDefault="00CA26D5" w:rsidP="00E90EAD">
            <w:pPr>
              <w:spacing w:before="40" w:after="40"/>
              <w:rPr>
                <w:lang w:val="fr-CH"/>
              </w:rPr>
            </w:pPr>
            <w:r w:rsidRPr="00025E00">
              <w:rPr>
                <w:rFonts w:ascii="Calibri" w:hAnsi="Calibri" w:cs="Calibri"/>
                <w:i/>
                <w:sz w:val="16"/>
                <w:szCs w:val="16"/>
                <w:lang w:val="fr-CH"/>
              </w:rPr>
              <w:t xml:space="preserve">Les </w:t>
            </w:r>
            <w:r w:rsidRPr="00025E00">
              <w:rPr>
                <w:rFonts w:ascii="Calibri" w:hAnsi="Calibri" w:cs="Calibri"/>
                <w:i/>
                <w:sz w:val="16"/>
                <w:szCs w:val="16"/>
                <w:lang w:val="fr-CA"/>
              </w:rPr>
              <w:t>problèmes sont connus et il existe des plans pour faire des changements</w:t>
            </w:r>
          </w:p>
        </w:tc>
        <w:tc>
          <w:tcPr>
            <w:tcW w:w="4111" w:type="dxa"/>
            <w:tcBorders>
              <w:top w:val="dotted" w:sz="8" w:space="0" w:color="BF8F00" w:themeColor="accent4" w:themeShade="BF"/>
            </w:tcBorders>
          </w:tcPr>
          <w:p w:rsidR="00B258D4" w:rsidRPr="00F10DED" w:rsidRDefault="001C0338" w:rsidP="00E90EAD">
            <w:pPr>
              <w:pStyle w:val="ListParagraph"/>
              <w:numPr>
                <w:ilvl w:val="0"/>
                <w:numId w:val="2"/>
              </w:numPr>
              <w:spacing w:before="40" w:after="40"/>
              <w:ind w:left="70" w:hanging="141"/>
              <w:rPr>
                <w:sz w:val="16"/>
                <w:szCs w:val="16"/>
                <w:lang w:val="fr-CH"/>
              </w:rPr>
            </w:pPr>
            <w:r w:rsidRPr="00F10DED">
              <w:rPr>
                <w:rFonts w:ascii="Calibri" w:hAnsi="Calibri" w:cs="Calibri"/>
                <w:sz w:val="16"/>
                <w:szCs w:val="16"/>
                <w:lang w:val="fr-CH"/>
              </w:rPr>
              <w:t>Les obstacles ou les effets négatifs ainsi que les étapes (prévues) pour le changement sont indiqués. Ces derniers ainsi que les actions tiennent compte des besoins des femmes/filles et des hommes/garçons de différents groupes d’âge.</w:t>
            </w:r>
          </w:p>
        </w:tc>
        <w:tc>
          <w:tcPr>
            <w:tcW w:w="3544" w:type="dxa"/>
            <w:tcBorders>
              <w:top w:val="dotted" w:sz="8" w:space="0" w:color="BF8F00" w:themeColor="accent4" w:themeShade="BF"/>
            </w:tcBorders>
          </w:tcPr>
          <w:p w:rsidR="00B258D4" w:rsidRPr="00F10DED" w:rsidRDefault="001C0338" w:rsidP="00E90EAD">
            <w:pPr>
              <w:pStyle w:val="ListParagraph"/>
              <w:numPr>
                <w:ilvl w:val="0"/>
                <w:numId w:val="2"/>
              </w:numPr>
              <w:spacing w:before="40" w:after="40"/>
              <w:ind w:left="70" w:hanging="141"/>
              <w:rPr>
                <w:rFonts w:ascii="Calibri" w:hAnsi="Calibri" w:cs="Calibri"/>
                <w:sz w:val="16"/>
                <w:szCs w:val="16"/>
                <w:lang w:val="fr-CH"/>
              </w:rPr>
            </w:pPr>
            <w:r w:rsidRPr="00F10DED">
              <w:rPr>
                <w:rFonts w:ascii="Calibri" w:hAnsi="Calibri" w:cs="Calibri"/>
                <w:sz w:val="16"/>
                <w:szCs w:val="16"/>
                <w:lang w:val="fr-CH"/>
              </w:rPr>
              <w:t>Les effets néfastes et les obstacles entravant l’accès sont mis en évidence</w:t>
            </w:r>
          </w:p>
          <w:p w:rsidR="001C0338" w:rsidRPr="00F10DED" w:rsidRDefault="001C0338" w:rsidP="00E90EAD">
            <w:pPr>
              <w:pStyle w:val="ListParagraph"/>
              <w:numPr>
                <w:ilvl w:val="0"/>
                <w:numId w:val="2"/>
              </w:numPr>
              <w:spacing w:before="40" w:after="40"/>
              <w:ind w:left="70" w:hanging="141"/>
              <w:rPr>
                <w:sz w:val="16"/>
                <w:szCs w:val="16"/>
                <w:lang w:val="fr-CH"/>
              </w:rPr>
            </w:pPr>
            <w:r w:rsidRPr="00F10DED">
              <w:rPr>
                <w:rFonts w:ascii="Calibri" w:hAnsi="Calibri" w:cs="Calibri"/>
                <w:sz w:val="16"/>
                <w:szCs w:val="16"/>
                <w:lang w:val="fr-CH"/>
              </w:rPr>
              <w:t>Les étapes envisagées pour adresser raisonnablement ces derniers sont indiquées</w:t>
            </w:r>
          </w:p>
        </w:tc>
      </w:tr>
    </w:tbl>
    <w:p w:rsidR="000F49EA" w:rsidRPr="000F49EA" w:rsidRDefault="000F49EA" w:rsidP="00E90EAD">
      <w:pPr>
        <w:rPr>
          <w:lang w:val="fr-CH"/>
        </w:rPr>
      </w:pPr>
    </w:p>
    <w:sectPr w:rsidR="000F49EA" w:rsidRPr="000F49EA" w:rsidSect="00E90EAD">
      <w:headerReference w:type="default" r:id="rId7"/>
      <w:pgSz w:w="12240" w:h="15840"/>
      <w:pgMar w:top="0" w:right="900" w:bottom="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ED4" w:rsidRDefault="00C25ED4" w:rsidP="00C75ABB">
      <w:pPr>
        <w:spacing w:after="0" w:line="240" w:lineRule="auto"/>
      </w:pPr>
      <w:r>
        <w:separator/>
      </w:r>
    </w:p>
  </w:endnote>
  <w:endnote w:type="continuationSeparator" w:id="0">
    <w:p w:rsidR="00C25ED4" w:rsidRDefault="00C25ED4" w:rsidP="00C7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ED4" w:rsidRDefault="00C25ED4" w:rsidP="00C75ABB">
      <w:pPr>
        <w:spacing w:after="0" w:line="240" w:lineRule="auto"/>
      </w:pPr>
      <w:r>
        <w:separator/>
      </w:r>
    </w:p>
  </w:footnote>
  <w:footnote w:type="continuationSeparator" w:id="0">
    <w:p w:rsidR="00C25ED4" w:rsidRDefault="00C25ED4" w:rsidP="00C75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ABB" w:rsidRPr="00F10DED" w:rsidRDefault="00C75ABB" w:rsidP="00C75ABB">
    <w:pPr>
      <w:pStyle w:val="Header"/>
      <w:tabs>
        <w:tab w:val="clear" w:pos="4680"/>
        <w:tab w:val="center" w:pos="3828"/>
      </w:tabs>
      <w:rPr>
        <w:color w:val="538135" w:themeColor="accent6" w:themeShade="BF"/>
        <w:lang w:val="fr-CH"/>
      </w:rPr>
    </w:pPr>
    <w:r>
      <w:rPr>
        <w:noProof/>
      </w:rPr>
      <w:drawing>
        <wp:anchor distT="0" distB="0" distL="114300" distR="114300" simplePos="0" relativeHeight="251658240" behindDoc="1" locked="0" layoutInCell="1" allowOverlap="1">
          <wp:simplePos x="0" y="0"/>
          <wp:positionH relativeFrom="column">
            <wp:posOffset>-2540</wp:posOffset>
          </wp:positionH>
          <wp:positionV relativeFrom="paragraph">
            <wp:posOffset>-78105</wp:posOffset>
          </wp:positionV>
          <wp:extent cx="1247775" cy="455295"/>
          <wp:effectExtent l="0" t="0" r="9525" b="1905"/>
          <wp:wrapTight wrapText="bothSides">
            <wp:wrapPolygon edited="0">
              <wp:start x="1319" y="0"/>
              <wp:lineTo x="0" y="8134"/>
              <wp:lineTo x="0" y="12653"/>
              <wp:lineTo x="1319" y="20787"/>
              <wp:lineTo x="20116" y="20787"/>
              <wp:lineTo x="21435" y="13556"/>
              <wp:lineTo x="21435" y="6326"/>
              <wp:lineTo x="20116" y="0"/>
              <wp:lineTo x="1319"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55295"/>
                  </a:xfrm>
                  <a:prstGeom prst="rect">
                    <a:avLst/>
                  </a:prstGeom>
                  <a:noFill/>
                  <a:ln>
                    <a:noFill/>
                  </a:ln>
                </pic:spPr>
              </pic:pic>
            </a:graphicData>
          </a:graphic>
        </wp:anchor>
      </w:drawing>
    </w:r>
    <w:r>
      <w:rPr>
        <w:lang w:val="fr-CH"/>
      </w:rPr>
      <w:t xml:space="preserve">  </w:t>
    </w:r>
    <w:r w:rsidRPr="00F10DED">
      <w:rPr>
        <w:rFonts w:asciiTheme="minorBidi" w:hAnsiTheme="minorBidi"/>
        <w:color w:val="538135" w:themeColor="accent6" w:themeShade="BF"/>
        <w:sz w:val="40"/>
        <w:szCs w:val="40"/>
        <w:lang w:val="fr-CH"/>
      </w:rPr>
      <w:t>Sommaire Mesures d’égalit</w:t>
    </w:r>
    <w:r w:rsidRPr="00F10DED">
      <w:rPr>
        <w:rFonts w:asciiTheme="minorBidi" w:hAnsiTheme="minorBidi"/>
        <w:color w:val="538135" w:themeColor="accent6" w:themeShade="BF"/>
        <w:sz w:val="40"/>
        <w:szCs w:val="40"/>
        <w:lang w:val="fr-CH"/>
      </w:rPr>
      <w:t>é</w:t>
    </w:r>
    <w:r w:rsidRPr="00F10DED">
      <w:rPr>
        <w:rFonts w:asciiTheme="minorBidi" w:hAnsiTheme="minorBidi"/>
        <w:color w:val="538135" w:themeColor="accent6" w:themeShade="BF"/>
        <w:sz w:val="40"/>
        <w:szCs w:val="40"/>
        <w:lang w:val="fr-CH"/>
      </w:rPr>
      <w:t xml:space="preserve"> de genre (MEG)</w:t>
    </w:r>
    <w:r w:rsidRPr="00F10DED">
      <w:rPr>
        <w:color w:val="538135" w:themeColor="accent6" w:themeShade="BF"/>
        <w:lang w:val="fr-CH"/>
      </w:rPr>
      <w:t xml:space="preserve">   </w:t>
    </w:r>
  </w:p>
  <w:p w:rsidR="00C75ABB" w:rsidRPr="00C75ABB" w:rsidRDefault="00C75ABB">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17CC1"/>
    <w:multiLevelType w:val="hybridMultilevel"/>
    <w:tmpl w:val="A54C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3A7418"/>
    <w:multiLevelType w:val="hybridMultilevel"/>
    <w:tmpl w:val="FEC8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ABB"/>
    <w:rsid w:val="000F49EA"/>
    <w:rsid w:val="00182038"/>
    <w:rsid w:val="00187CE2"/>
    <w:rsid w:val="001C0338"/>
    <w:rsid w:val="00250C21"/>
    <w:rsid w:val="00382CB9"/>
    <w:rsid w:val="00682574"/>
    <w:rsid w:val="00853396"/>
    <w:rsid w:val="00953601"/>
    <w:rsid w:val="00A067C4"/>
    <w:rsid w:val="00B258D4"/>
    <w:rsid w:val="00C25ED4"/>
    <w:rsid w:val="00C75ABB"/>
    <w:rsid w:val="00CA26D5"/>
    <w:rsid w:val="00E90EAD"/>
    <w:rsid w:val="00F10DED"/>
    <w:rsid w:val="00F111BD"/>
    <w:rsid w:val="00F438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5DD20"/>
  <w15:chartTrackingRefBased/>
  <w15:docId w15:val="{39411E77-A421-45A0-8BAA-5162BD3E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ABB"/>
  </w:style>
  <w:style w:type="paragraph" w:styleId="Footer">
    <w:name w:val="footer"/>
    <w:basedOn w:val="Normal"/>
    <w:link w:val="FooterChar"/>
    <w:uiPriority w:val="99"/>
    <w:unhideWhenUsed/>
    <w:rsid w:val="00C75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ABB"/>
  </w:style>
  <w:style w:type="table" w:styleId="TableGrid">
    <w:name w:val="Table Grid"/>
    <w:basedOn w:val="TableNormal"/>
    <w:uiPriority w:val="39"/>
    <w:rsid w:val="000F4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0DED"/>
    <w:pPr>
      <w:ind w:left="720"/>
      <w:contextualSpacing/>
    </w:pPr>
  </w:style>
  <w:style w:type="paragraph" w:styleId="BalloonText">
    <w:name w:val="Balloon Text"/>
    <w:basedOn w:val="Normal"/>
    <w:link w:val="BalloonTextChar"/>
    <w:uiPriority w:val="99"/>
    <w:semiHidden/>
    <w:unhideWhenUsed/>
    <w:rsid w:val="00E90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Clifton</dc:creator>
  <cp:keywords/>
  <dc:description/>
  <cp:lastModifiedBy>Deborah Clifton</cp:lastModifiedBy>
  <cp:revision>14</cp:revision>
  <cp:lastPrinted>2018-08-27T13:59:00Z</cp:lastPrinted>
  <dcterms:created xsi:type="dcterms:W3CDTF">2018-08-27T13:02:00Z</dcterms:created>
  <dcterms:modified xsi:type="dcterms:W3CDTF">2018-08-27T14:00:00Z</dcterms:modified>
</cp:coreProperties>
</file>