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F290" w14:textId="77777777" w:rsidR="00594491" w:rsidRDefault="00594491" w:rsidP="00594491">
      <w:pPr>
        <w:jc w:val="center"/>
      </w:pPr>
      <w:r>
        <w:t xml:space="preserve">GAM Design Findings - </w:t>
      </w:r>
      <w:r w:rsidR="00812DC6">
        <w:t>Ukraine</w:t>
      </w:r>
    </w:p>
    <w:p w14:paraId="234A650B" w14:textId="3C3B3860" w:rsidR="00594491" w:rsidRDefault="00EA3D99" w:rsidP="00594491">
      <w:r>
        <w:t>76</w:t>
      </w:r>
      <w:r w:rsidR="00594491" w:rsidRPr="00EA3D99">
        <w:t>%</w:t>
      </w:r>
      <w:r w:rsidR="00594491">
        <w:t xml:space="preserve"> of </w:t>
      </w:r>
      <w:r w:rsidR="00812DC6">
        <w:t>Ukraine</w:t>
      </w:r>
      <w:r>
        <w:t xml:space="preserve"> approved</w:t>
      </w:r>
      <w:r w:rsidR="00594491">
        <w:t xml:space="preserve"> projects in the </w:t>
      </w:r>
      <w:r>
        <w:t xml:space="preserve">2019 </w:t>
      </w:r>
      <w:r w:rsidR="00594491">
        <w:t xml:space="preserve">HPC completed the Gender with Age Marker, </w:t>
      </w:r>
      <w:r>
        <w:t xml:space="preserve">reflecting that the </w:t>
      </w:r>
      <w:r w:rsidR="0009089B">
        <w:t>GAM was widely used in 2018 (74/</w:t>
      </w:r>
      <w:r>
        <w:t>97</w:t>
      </w:r>
      <w:r w:rsidR="005C5B41">
        <w:t xml:space="preserve"> </w:t>
      </w:r>
      <w:r w:rsidR="0009089B">
        <w:t xml:space="preserve">total approved </w:t>
      </w:r>
      <w:r w:rsidR="005C5B41">
        <w:t>projects</w:t>
      </w:r>
      <w:r w:rsidR="0009089B">
        <w:t xml:space="preserve"> for Ukraine completed the GAM.</w:t>
      </w:r>
      <w:r>
        <w:t>)</w:t>
      </w:r>
    </w:p>
    <w:p w14:paraId="78130BAB" w14:textId="11011B62" w:rsidR="00594491" w:rsidRDefault="00594491" w:rsidP="00594491">
      <w:r>
        <w:t xml:space="preserve">GAM </w:t>
      </w:r>
      <w:r w:rsidR="00EA3D99">
        <w:t xml:space="preserve">information </w:t>
      </w:r>
      <w:r>
        <w:t>summarized here demonstrate</w:t>
      </w:r>
      <w:r w:rsidR="00D708E7">
        <w:t>s</w:t>
      </w:r>
      <w:r>
        <w:t xml:space="preserve"> considerable attention to gender- and age-related issues in the project design phase.  </w:t>
      </w:r>
    </w:p>
    <w:p w14:paraId="0DB39390" w14:textId="77777777" w:rsidR="00594491" w:rsidRDefault="005C5B41" w:rsidP="00594491">
      <w:r>
        <w:rPr>
          <w:noProof/>
        </w:rPr>
        <w:drawing>
          <wp:inline distT="0" distB="0" distL="0" distR="0" wp14:anchorId="3C3B7770" wp14:editId="5061E565">
            <wp:extent cx="2419350" cy="16847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11" cy="1718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F82B63">
        <w:tab/>
      </w:r>
      <w:r>
        <w:rPr>
          <w:noProof/>
        </w:rPr>
        <w:drawing>
          <wp:inline distT="0" distB="0" distL="0" distR="0" wp14:anchorId="56AA3F23" wp14:editId="5C450DAF">
            <wp:extent cx="2247900" cy="1713230"/>
            <wp:effectExtent l="0" t="0" r="0" b="127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3E15F908-A440-47A4-8EEE-FDAD7EB591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</w:p>
    <w:p w14:paraId="3D30B947" w14:textId="474DDEDD" w:rsidR="00594491" w:rsidRDefault="005C5B41" w:rsidP="00594491">
      <w:r>
        <w:t>72 projects</w:t>
      </w:r>
      <w:r w:rsidR="00594491">
        <w:t xml:space="preserve"> </w:t>
      </w:r>
      <w:r w:rsidR="00594491" w:rsidRPr="001161B7">
        <w:rPr>
          <w:b/>
          <w:bCs/>
        </w:rPr>
        <w:t>(9</w:t>
      </w:r>
      <w:r>
        <w:rPr>
          <w:b/>
          <w:bCs/>
        </w:rPr>
        <w:t>7</w:t>
      </w:r>
      <w:r w:rsidR="0009089B">
        <w:rPr>
          <w:b/>
          <w:bCs/>
        </w:rPr>
        <w:t>%</w:t>
      </w:r>
      <w:r w:rsidR="0009089B">
        <w:t xml:space="preserve"> of GAMs submitted) </w:t>
      </w:r>
      <w:r w:rsidR="00594491">
        <w:t>mainstream gender or gender AND age in their design (Codes 3 or 4.)</w:t>
      </w:r>
    </w:p>
    <w:p w14:paraId="1140BAF4" w14:textId="67AC8E28" w:rsidR="00594491" w:rsidRPr="00F82B63" w:rsidRDefault="00594491" w:rsidP="0009089B">
      <w:pPr>
        <w:rPr>
          <w:sz w:val="28"/>
          <w:szCs w:val="28"/>
        </w:rPr>
      </w:pPr>
      <w:r>
        <w:t>The GAM asks users to consider four program elements in project design:  analysis, activities, participation and benefits.</w:t>
      </w:r>
      <w:r w:rsidR="005C5B41">
        <w:t xml:space="preserve">  </w:t>
      </w:r>
      <w:r>
        <w:t xml:space="preserve">In </w:t>
      </w:r>
      <w:proofErr w:type="gramStart"/>
      <w:r>
        <w:t>ALL of</w:t>
      </w:r>
      <w:proofErr w:type="gramEnd"/>
      <w:r>
        <w:t xml:space="preserve"> these areas, </w:t>
      </w:r>
      <w:r w:rsidR="00667030">
        <w:t>at least 86</w:t>
      </w:r>
      <w:r>
        <w:t xml:space="preserve">% of </w:t>
      </w:r>
      <w:r w:rsidR="00667030">
        <w:t>project</w:t>
      </w:r>
      <w:r>
        <w:t xml:space="preserve">s show intention to address gender differences, and in most cases gender and age differences, in their projects.  </w:t>
      </w:r>
      <w:r w:rsidR="00F82B63">
        <w:t xml:space="preserve">  </w:t>
      </w:r>
    </w:p>
    <w:p w14:paraId="7B50D42A" w14:textId="116B97D5" w:rsidR="00667030" w:rsidRDefault="00A524F8" w:rsidP="005C5B41">
      <w:r>
        <w:rPr>
          <w:noProof/>
        </w:rPr>
        <w:drawing>
          <wp:inline distT="0" distB="0" distL="0" distR="0" wp14:anchorId="52CAD624" wp14:editId="4A860BD4">
            <wp:extent cx="2628900" cy="22402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66E851EE" w14:textId="77777777" w:rsidR="00594491" w:rsidRDefault="00594491" w:rsidP="00594491">
      <w:r>
        <w:t xml:space="preserve">Under analysis, </w:t>
      </w:r>
      <w:r w:rsidR="003928AE">
        <w:t xml:space="preserve">more than </w:t>
      </w:r>
      <w:r>
        <w:t>half of projects (</w:t>
      </w:r>
      <w:r w:rsidR="003928AE">
        <w:t>57</w:t>
      </w:r>
      <w:r>
        <w:t xml:space="preserve">%) indicate a focus on “women, girls, boys, </w:t>
      </w:r>
      <w:r w:rsidR="000E6471">
        <w:t xml:space="preserve">and </w:t>
      </w:r>
      <w:r>
        <w:t>men;” 1</w:t>
      </w:r>
      <w:r w:rsidR="003928AE">
        <w:t>1</w:t>
      </w:r>
      <w:r>
        <w:t xml:space="preserve">% </w:t>
      </w:r>
      <w:r w:rsidR="000E6471">
        <w:t xml:space="preserve">are </w:t>
      </w:r>
      <w:r>
        <w:t>primarily concerned with women and children</w:t>
      </w:r>
      <w:r w:rsidR="003928AE">
        <w:t>;</w:t>
      </w:r>
      <w:r>
        <w:t xml:space="preserve"> </w:t>
      </w:r>
      <w:r w:rsidR="003928AE">
        <w:t xml:space="preserve">9% women and men, </w:t>
      </w:r>
      <w:r>
        <w:t xml:space="preserve">and </w:t>
      </w:r>
      <w:r w:rsidR="003928AE">
        <w:t>only 3</w:t>
      </w:r>
      <w:r>
        <w:t>% with girls and boys only.   We see that respondents are not just ticking all the boxes, as only 1</w:t>
      </w:r>
      <w:r w:rsidR="003928AE">
        <w:t>1</w:t>
      </w:r>
      <w:r>
        <w:t xml:space="preserve"> projects </w:t>
      </w:r>
      <w:r w:rsidR="003928AE">
        <w:t>include the</w:t>
      </w:r>
      <w:r>
        <w:t xml:space="preserve"> category “diverse gender identity</w:t>
      </w:r>
      <w:r w:rsidR="003928AE">
        <w:t>.”</w:t>
      </w:r>
    </w:p>
    <w:p w14:paraId="799C0F45" w14:textId="154180D4" w:rsidR="00F82B63" w:rsidRDefault="00F82B63" w:rsidP="00594491">
      <w:r>
        <w:t xml:space="preserve">Excluding nine narratives not in English, </w:t>
      </w:r>
      <w:r w:rsidR="0009089B">
        <w:t>approximately one</w:t>
      </w:r>
      <w:r>
        <w:t xml:space="preserve"> third</w:t>
      </w:r>
      <w:r w:rsidR="004E68B8" w:rsidRPr="004E68B8">
        <w:t xml:space="preserve"> of project</w:t>
      </w:r>
      <w:r w:rsidR="00DE5E68">
        <w:t>s</w:t>
      </w:r>
      <w:r w:rsidR="004E68B8" w:rsidRPr="004E68B8">
        <w:t xml:space="preserve"> (22) </w:t>
      </w:r>
      <w:r w:rsidR="0009089B">
        <w:t>demonstrate</w:t>
      </w:r>
      <w:r w:rsidR="004E68B8" w:rsidRPr="00F82B63">
        <w:t xml:space="preserve"> clear analysis of </w:t>
      </w:r>
      <w:r w:rsidR="00594491" w:rsidRPr="00F82B63">
        <w:t xml:space="preserve">effects of gender inequality </w:t>
      </w:r>
      <w:r w:rsidR="004E68B8" w:rsidRPr="00F82B63">
        <w:t xml:space="preserve">and often also age inequalities </w:t>
      </w:r>
      <w:r w:rsidR="00594491" w:rsidRPr="00F82B63">
        <w:t>in relation to their sector</w:t>
      </w:r>
      <w:r w:rsidR="004E68B8" w:rsidRPr="00F82B63">
        <w:t xml:space="preserve">.   </w:t>
      </w:r>
      <w:r w:rsidR="004E68B8" w:rsidRPr="004E68B8">
        <w:t xml:space="preserve">Several organizations appear particularly strong in this respect.  </w:t>
      </w:r>
      <w:r>
        <w:t>Another third (20 projects)</w:t>
      </w:r>
      <w:r w:rsidR="004E68B8" w:rsidRPr="004E68B8">
        <w:t xml:space="preserve"> </w:t>
      </w:r>
      <w:r w:rsidR="00594491" w:rsidRPr="004E68B8">
        <w:t xml:space="preserve">express </w:t>
      </w:r>
      <w:r w:rsidR="004E68B8" w:rsidRPr="004E68B8">
        <w:t xml:space="preserve">a desire to address inequality, </w:t>
      </w:r>
      <w:r w:rsidR="004E68B8">
        <w:t>as opposed to an analysis of it, or cite</w:t>
      </w:r>
      <w:r>
        <w:t xml:space="preserve"> disaggregated</w:t>
      </w:r>
      <w:r w:rsidR="004E68B8">
        <w:t xml:space="preserve"> statistics </w:t>
      </w:r>
      <w:r w:rsidR="0009089B">
        <w:t xml:space="preserve">often </w:t>
      </w:r>
      <w:r w:rsidR="004E68B8">
        <w:t xml:space="preserve">unrelated to </w:t>
      </w:r>
      <w:r w:rsidR="004E68B8">
        <w:lastRenderedPageBreak/>
        <w:t>their sector or activities.</w:t>
      </w:r>
      <w:r w:rsidR="004E68B8" w:rsidRPr="004E68B8">
        <w:t xml:space="preserve">  </w:t>
      </w:r>
      <w:r>
        <w:t xml:space="preserve">Many projects focus their analysis exclusively on gender-based violence. Twenty projects </w:t>
      </w:r>
      <w:r w:rsidR="0009089B">
        <w:t xml:space="preserve">(approx. 1/3) </w:t>
      </w:r>
      <w:r>
        <w:t>have no gender analysis.</w:t>
      </w:r>
    </w:p>
    <w:p w14:paraId="7302B4E9" w14:textId="77777777" w:rsidR="00F82B63" w:rsidRDefault="00F82B63" w:rsidP="00594491">
      <w:r>
        <w:rPr>
          <w:noProof/>
        </w:rPr>
        <w:drawing>
          <wp:inline distT="0" distB="0" distL="0" distR="0" wp14:anchorId="13809B4F" wp14:editId="47D2F0A1">
            <wp:extent cx="3298341" cy="1981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39" cy="201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34FBF" w14:textId="77777777" w:rsidR="00594491" w:rsidRDefault="004E68B8" w:rsidP="00594491">
      <w:r>
        <w:t>Support</w:t>
      </w:r>
      <w:r w:rsidR="00594491" w:rsidRPr="004E68B8">
        <w:t xml:space="preserve"> is needed to help project holders </w:t>
      </w:r>
      <w:r>
        <w:t>understand how and gender and age</w:t>
      </w:r>
      <w:r w:rsidR="00594491" w:rsidRPr="004E68B8">
        <w:t xml:space="preserve"> analysis </w:t>
      </w:r>
      <w:r w:rsidR="00F82B63">
        <w:t>can</w:t>
      </w:r>
      <w:r w:rsidR="00594491" w:rsidRPr="004E68B8">
        <w:t xml:space="preserve"> inform </w:t>
      </w:r>
      <w:r w:rsidR="004639CE" w:rsidRPr="004E68B8">
        <w:t xml:space="preserve">the </w:t>
      </w:r>
      <w:r w:rsidR="00594491" w:rsidRPr="004E68B8">
        <w:t xml:space="preserve">activities to be delivered, how </w:t>
      </w:r>
      <w:proofErr w:type="gramStart"/>
      <w:r w:rsidR="00594491" w:rsidRPr="004E68B8">
        <w:t>different groups</w:t>
      </w:r>
      <w:proofErr w:type="gramEnd"/>
      <w:r w:rsidR="00594491" w:rsidRPr="004E68B8">
        <w:t xml:space="preserve"> </w:t>
      </w:r>
      <w:r w:rsidR="00F82B63">
        <w:t>can</w:t>
      </w:r>
      <w:r w:rsidR="00594491" w:rsidRPr="004E68B8">
        <w:t xml:space="preserve"> be engaged, or how results will be measured; and at sector level to ensure all partners understand the implications of marginalization for their work.</w:t>
      </w:r>
      <w:r w:rsidR="00594491">
        <w:t xml:space="preserve">  </w:t>
      </w:r>
    </w:p>
    <w:p w14:paraId="30772B07" w14:textId="61A3E048" w:rsidR="00594491" w:rsidRDefault="00982A60" w:rsidP="00594491">
      <w:r>
        <w:t>Half</w:t>
      </w:r>
      <w:r w:rsidR="00594491">
        <w:t xml:space="preserve"> of project</w:t>
      </w:r>
      <w:r w:rsidR="009200E7">
        <w:t xml:space="preserve">s plan to </w:t>
      </w:r>
      <w:r w:rsidR="00594491">
        <w:t xml:space="preserve">adapt or tailor </w:t>
      </w:r>
      <w:r w:rsidR="009200E7">
        <w:t xml:space="preserve">activities </w:t>
      </w:r>
      <w:proofErr w:type="gramStart"/>
      <w:r w:rsidR="00833318">
        <w:t>on the basis</w:t>
      </w:r>
      <w:r>
        <w:t xml:space="preserve"> of</w:t>
      </w:r>
      <w:proofErr w:type="gramEnd"/>
      <w:r>
        <w:t xml:space="preserve"> gendered needs, roles and dynamic</w:t>
      </w:r>
      <w:r w:rsidR="009200E7">
        <w:t>s</w:t>
      </w:r>
      <w:r>
        <w:t>.  Slight</w:t>
      </w:r>
      <w:r w:rsidR="009200E7">
        <w:t>ly</w:t>
      </w:r>
      <w:r>
        <w:t xml:space="preserve"> less </w:t>
      </w:r>
      <w:r w:rsidR="009200E7">
        <w:t>tailor activities</w:t>
      </w:r>
      <w:r>
        <w:t xml:space="preserve"> solely based on</w:t>
      </w:r>
      <w:r w:rsidR="00594491">
        <w:t xml:space="preserve"> </w:t>
      </w:r>
      <w:proofErr w:type="gramStart"/>
      <w:r w:rsidR="00594491">
        <w:t>different needs</w:t>
      </w:r>
      <w:proofErr w:type="gramEnd"/>
      <w:r w:rsidR="00594491">
        <w:t xml:space="preserve">.    </w:t>
      </w:r>
      <w:r>
        <w:t>One project is</w:t>
      </w:r>
      <w:r w:rsidR="00594491">
        <w:t xml:space="preserve"> </w:t>
      </w:r>
      <w:r>
        <w:t>a targeted action aiming to reduce</w:t>
      </w:r>
      <w:r w:rsidR="00594491">
        <w:t xml:space="preserve"> ge</w:t>
      </w:r>
      <w:r>
        <w:t>nder barriers or discrimination.</w:t>
      </w:r>
      <w:r w:rsidR="00594491">
        <w:t xml:space="preserve"> </w:t>
      </w:r>
    </w:p>
    <w:p w14:paraId="66BA80CF" w14:textId="77777777" w:rsidR="005217EA" w:rsidRDefault="005217EA" w:rsidP="00594491">
      <w:r>
        <w:rPr>
          <w:noProof/>
        </w:rPr>
        <w:drawing>
          <wp:inline distT="0" distB="0" distL="0" distR="0" wp14:anchorId="2F0B3073" wp14:editId="5B4E7C2D">
            <wp:extent cx="2571750" cy="1447604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04" cy="147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C7A2A" w14:textId="77777777" w:rsidR="00594491" w:rsidRDefault="00594491" w:rsidP="00594491">
      <w:r>
        <w:t>How affected people participate differs widely among projects and sho</w:t>
      </w:r>
      <w:r w:rsidR="000E6471">
        <w:t>ws meaningful response. While 38</w:t>
      </w:r>
      <w:r>
        <w:t xml:space="preserve">% say affected people will be involved in </w:t>
      </w:r>
      <w:r w:rsidRPr="007A3B8C">
        <w:rPr>
          <w:i/>
          <w:iCs/>
        </w:rPr>
        <w:t xml:space="preserve">all </w:t>
      </w:r>
      <w:r>
        <w:t>aspects of project manageme</w:t>
      </w:r>
      <w:r w:rsidR="000E6471">
        <w:t>nt, most are more plausible.  30</w:t>
      </w:r>
      <w:r>
        <w:t xml:space="preserve">% of projects involve beneficiaries in </w:t>
      </w:r>
      <w:r>
        <w:rPr>
          <w:i/>
          <w:iCs/>
        </w:rPr>
        <w:t>three</w:t>
      </w:r>
      <w:r>
        <w:t xml:space="preserve"> stages – assessment, design and delivery - with the remainder </w:t>
      </w:r>
      <w:r w:rsidR="000E6471">
        <w:t xml:space="preserve">mostly </w:t>
      </w:r>
      <w:r>
        <w:t>selecting 1-2 aspects of project management where affected people will be involved. (see chart)</w:t>
      </w:r>
    </w:p>
    <w:p w14:paraId="5A17657D" w14:textId="77777777" w:rsidR="00594491" w:rsidRDefault="000E6471" w:rsidP="00594491">
      <w:r>
        <w:rPr>
          <w:noProof/>
        </w:rPr>
        <w:drawing>
          <wp:inline distT="0" distB="0" distL="0" distR="0" wp14:anchorId="6CFEA05D" wp14:editId="7F5AFDB4">
            <wp:extent cx="2867025" cy="17221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47" cy="174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C3BC1" w14:textId="499816CB" w:rsidR="004E3709" w:rsidRDefault="00A33E02" w:rsidP="004E3709">
      <w:r>
        <w:lastRenderedPageBreak/>
        <w:t>No doubt because of previous experience using the GAM, Ukraine has a high completion rate, and very few transcription errors when entering codes into HPC</w:t>
      </w:r>
      <w:r w:rsidR="006921E6">
        <w:t xml:space="preserve">.  There may still be a misperception </w:t>
      </w:r>
      <w:r w:rsidR="00594491">
        <w:t>that a “targeted action” (T) is somehow better than a project that mainstreams gender</w:t>
      </w:r>
      <w:r w:rsidR="006921E6">
        <w:t xml:space="preserve"> (M) as two projects changed their code from 4(</w:t>
      </w:r>
      <w:r w:rsidR="007C1A06">
        <w:t>M</w:t>
      </w:r>
      <w:r w:rsidR="006921E6">
        <w:t>) to 4(</w:t>
      </w:r>
      <w:r w:rsidR="007C1A06">
        <w:t>T</w:t>
      </w:r>
      <w:r w:rsidR="006921E6">
        <w:t>)</w:t>
      </w:r>
      <w:r w:rsidR="00594491">
        <w:t xml:space="preserve">.  </w:t>
      </w:r>
      <w:r w:rsidR="006921E6">
        <w:t>Only one project</w:t>
      </w:r>
      <w:r w:rsidR="00594491">
        <w:t xml:space="preserve"> “upgraded” their code from </w:t>
      </w:r>
      <w:r w:rsidR="006921E6">
        <w:t>0</w:t>
      </w:r>
      <w:r w:rsidR="00594491">
        <w:t xml:space="preserve"> to 4</w:t>
      </w:r>
      <w:r w:rsidR="006921E6">
        <w:t xml:space="preserve"> when entering it in HPC</w:t>
      </w:r>
      <w:r w:rsidR="00594491">
        <w:t xml:space="preserve">. </w:t>
      </w:r>
    </w:p>
    <w:p w14:paraId="23C4FA8C" w14:textId="19E4C853" w:rsidR="004E3709" w:rsidRDefault="004E3709" w:rsidP="000372BD">
      <w:r>
        <w:t xml:space="preserve">In addition to highlighting overall </w:t>
      </w:r>
      <w:proofErr w:type="gramStart"/>
      <w:r>
        <w:t>strong performance</w:t>
      </w:r>
      <w:proofErr w:type="gramEnd"/>
      <w:r>
        <w:t xml:space="preserve"> in Ukraine, the GAM also identifies areas</w:t>
      </w:r>
      <w:r w:rsidR="000372BD">
        <w:t xml:space="preserve"> and</w:t>
      </w:r>
      <w:r>
        <w:t xml:space="preserve"> agencies where programming can be more responsive to gender- and age-related exclusion.  The September monitoring mission documented that </w:t>
      </w:r>
      <w:r w:rsidR="000372BD">
        <w:t xml:space="preserve">many </w:t>
      </w:r>
      <w:r>
        <w:t xml:space="preserve">partners are using the tool to identify programming gaps and </w:t>
      </w:r>
      <w:proofErr w:type="gramStart"/>
      <w:r>
        <w:t>provide assistance</w:t>
      </w:r>
      <w:proofErr w:type="gramEnd"/>
      <w:r>
        <w:t xml:space="preserve"> in more inclusive and accountable ways</w:t>
      </w:r>
      <w:r w:rsidR="000372BD">
        <w:t xml:space="preserve">, and that expertise exists in country to continue this process.  </w:t>
      </w:r>
      <w:r>
        <w:t xml:space="preserve"> </w:t>
      </w:r>
    </w:p>
    <w:p w14:paraId="1AD68289" w14:textId="3E03F1E5" w:rsidR="004E3709" w:rsidRDefault="004E3709" w:rsidP="004E3709">
      <w:r>
        <w:t>Use of the IASC Gender with Age Marker by humanitarian actors in Ukraine shows a shift toward delivering aid at new and higher standards</w:t>
      </w:r>
      <w:r w:rsidR="000372BD">
        <w:t>.  I</w:t>
      </w:r>
      <w:r w:rsidR="00C60432">
        <w:t xml:space="preserve">t is hoped that the organizational </w:t>
      </w:r>
      <w:r>
        <w:t xml:space="preserve">support required </w:t>
      </w:r>
      <w:r w:rsidR="000372BD">
        <w:t xml:space="preserve">for its ongoing use in project and program monitoring will be </w:t>
      </w:r>
      <w:r w:rsidR="005355D6">
        <w:t>continu</w:t>
      </w:r>
      <w:r w:rsidR="000372BD">
        <w:t>ed.</w:t>
      </w:r>
    </w:p>
    <w:p w14:paraId="2B5F192B" w14:textId="63219824" w:rsidR="004E3709" w:rsidRDefault="004E3709" w:rsidP="004E3709"/>
    <w:p w14:paraId="58D2D5C0" w14:textId="77777777" w:rsidR="004E3709" w:rsidRDefault="004E3709" w:rsidP="004E3709"/>
    <w:p w14:paraId="03325033" w14:textId="77777777" w:rsidR="00594491" w:rsidRDefault="00594491">
      <w:bookmarkStart w:id="0" w:name="_GoBack"/>
      <w:bookmarkEnd w:id="0"/>
    </w:p>
    <w:sectPr w:rsidR="00594491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3AB1" w14:textId="77777777" w:rsidR="005F1796" w:rsidRDefault="005F1796" w:rsidP="006D7F36">
      <w:pPr>
        <w:spacing w:after="0" w:line="240" w:lineRule="auto"/>
      </w:pPr>
      <w:r>
        <w:separator/>
      </w:r>
    </w:p>
  </w:endnote>
  <w:endnote w:type="continuationSeparator" w:id="0">
    <w:p w14:paraId="71FF2EA8" w14:textId="77777777" w:rsidR="005F1796" w:rsidRDefault="005F1796" w:rsidP="006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3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4EC9" w14:textId="2794ADC0" w:rsidR="005355D6" w:rsidRDefault="005355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ECA6B" w14:textId="77777777" w:rsidR="005355D6" w:rsidRDefault="0053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7EB9" w14:textId="77777777" w:rsidR="005F1796" w:rsidRDefault="005F1796" w:rsidP="006D7F36">
      <w:pPr>
        <w:spacing w:after="0" w:line="240" w:lineRule="auto"/>
      </w:pPr>
      <w:r>
        <w:separator/>
      </w:r>
    </w:p>
  </w:footnote>
  <w:footnote w:type="continuationSeparator" w:id="0">
    <w:p w14:paraId="64F14F69" w14:textId="77777777" w:rsidR="005F1796" w:rsidRDefault="005F1796" w:rsidP="006D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3C01"/>
    <w:multiLevelType w:val="hybridMultilevel"/>
    <w:tmpl w:val="4682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91"/>
    <w:rsid w:val="000372BD"/>
    <w:rsid w:val="00082D69"/>
    <w:rsid w:val="0009089B"/>
    <w:rsid w:val="000E6471"/>
    <w:rsid w:val="000F71B3"/>
    <w:rsid w:val="00197E0A"/>
    <w:rsid w:val="00220EB6"/>
    <w:rsid w:val="0030400E"/>
    <w:rsid w:val="00363C02"/>
    <w:rsid w:val="003928AE"/>
    <w:rsid w:val="004639CE"/>
    <w:rsid w:val="0047076F"/>
    <w:rsid w:val="004E3709"/>
    <w:rsid w:val="004E68B8"/>
    <w:rsid w:val="005217EA"/>
    <w:rsid w:val="00531529"/>
    <w:rsid w:val="005355D6"/>
    <w:rsid w:val="005700B5"/>
    <w:rsid w:val="00570C59"/>
    <w:rsid w:val="00594491"/>
    <w:rsid w:val="005C5B41"/>
    <w:rsid w:val="005D2B73"/>
    <w:rsid w:val="005F1796"/>
    <w:rsid w:val="00667030"/>
    <w:rsid w:val="006921E6"/>
    <w:rsid w:val="006A4798"/>
    <w:rsid w:val="006A770B"/>
    <w:rsid w:val="006B4A00"/>
    <w:rsid w:val="006D7F36"/>
    <w:rsid w:val="007C1A06"/>
    <w:rsid w:val="00812DC6"/>
    <w:rsid w:val="00833318"/>
    <w:rsid w:val="00867F8B"/>
    <w:rsid w:val="009200E7"/>
    <w:rsid w:val="0092146C"/>
    <w:rsid w:val="0095317F"/>
    <w:rsid w:val="00982A60"/>
    <w:rsid w:val="00993D89"/>
    <w:rsid w:val="00A33E02"/>
    <w:rsid w:val="00A524F8"/>
    <w:rsid w:val="00A75E62"/>
    <w:rsid w:val="00C60432"/>
    <w:rsid w:val="00D708E7"/>
    <w:rsid w:val="00D97758"/>
    <w:rsid w:val="00DB47D2"/>
    <w:rsid w:val="00DE5E68"/>
    <w:rsid w:val="00EA3D99"/>
    <w:rsid w:val="00EF3A9D"/>
    <w:rsid w:val="00F04E8E"/>
    <w:rsid w:val="00F81950"/>
    <w:rsid w:val="00F82B63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C965"/>
  <w15:chartTrackingRefBased/>
  <w15:docId w15:val="{81C6C713-CDFA-42CA-99B3-DEF9F5F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49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3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36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463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CE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B7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B7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IFTON\Desktop\OFFICE%20GAM%202018\GAM%20DATA\UKRAINE\UKR%20GAMTool_DataFile%20v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Actual GAM Results - Ukraine</a:t>
            </a:r>
            <a:r>
              <a:rPr lang="en-US" sz="1100" baseline="0"/>
              <a:t> </a:t>
            </a:r>
            <a:r>
              <a:rPr lang="en-US" sz="1100"/>
              <a:t>(n=74)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'Calcs &amp; Charts'!$A$2:$A$5</c:f>
              <c:strCache>
                <c:ptCount val="4"/>
                <c:pt idx="0">
                  <c:v>4M</c:v>
                </c:pt>
                <c:pt idx="1">
                  <c:v>3M</c:v>
                </c:pt>
                <c:pt idx="2">
                  <c:v>1M</c:v>
                </c:pt>
                <c:pt idx="3">
                  <c:v>0T</c:v>
                </c:pt>
              </c:strCache>
            </c:strRef>
          </c:cat>
          <c:val>
            <c:numRef>
              <c:f>'Calcs &amp; Charts'!$B$2:$B$5</c:f>
              <c:numCache>
                <c:formatCode>General</c:formatCode>
                <c:ptCount val="4"/>
                <c:pt idx="0">
                  <c:v>71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4-47DF-92BC-F687E69DC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2218176"/>
        <c:axId val="902212600"/>
      </c:barChart>
      <c:catAx>
        <c:axId val="902218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GAM Codes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2212600"/>
        <c:crosses val="autoZero"/>
        <c:auto val="1"/>
        <c:lblAlgn val="ctr"/>
        <c:lblOffset val="100"/>
        <c:noMultiLvlLbl val="0"/>
      </c:catAx>
      <c:valAx>
        <c:axId val="90221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Projects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221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Clifton</dc:creator>
  <cp:keywords/>
  <dc:description/>
  <cp:lastModifiedBy>Deborah Clifton</cp:lastModifiedBy>
  <cp:revision>10</cp:revision>
  <cp:lastPrinted>2018-11-29T12:53:00Z</cp:lastPrinted>
  <dcterms:created xsi:type="dcterms:W3CDTF">2018-11-29T04:13:00Z</dcterms:created>
  <dcterms:modified xsi:type="dcterms:W3CDTF">2018-11-29T12:53:00Z</dcterms:modified>
</cp:coreProperties>
</file>