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632BEE">
        <w:rPr>
          <w:rFonts w:ascii="Arial-BoldMT" w:hAnsi="Arial-BoldMT" w:cs="Arial-BoldMT"/>
          <w:b/>
          <w:bCs/>
          <w:color w:val="609340"/>
          <w:sz w:val="64"/>
          <w:szCs w:val="64"/>
        </w:rPr>
        <w:t>Nigeria</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9A7B75" w:rsidRDefault="009A7B75" w:rsidP="003B69FE">
      <w:pPr>
        <w:rPr>
          <w:rFonts w:ascii="Calibri-Bold" w:hAnsi="Calibri-Bold" w:cs="Calibri-Bold"/>
          <w:b/>
          <w:bCs/>
          <w:sz w:val="72"/>
          <w:szCs w:val="72"/>
        </w:rPr>
      </w:pPr>
    </w:p>
    <w:p w:rsidR="00A664AB" w:rsidRDefault="006D3D6B" w:rsidP="009C707C">
      <w:r>
        <w:t>25</w:t>
      </w:r>
      <w:r w:rsidR="009C707C">
        <w:t>%</w:t>
      </w:r>
      <w:r w:rsidR="00A664AB">
        <w:t xml:space="preserve"> (</w:t>
      </w:r>
      <w:r w:rsidR="00B4030F">
        <w:t>4</w:t>
      </w:r>
      <w:r>
        <w:t>4</w:t>
      </w:r>
      <w:r w:rsidR="00005C8B">
        <w:t>/</w:t>
      </w:r>
      <w:r w:rsidR="006253B1">
        <w:t>183</w:t>
      </w:r>
      <w:r w:rsidR="00A664AB">
        <w:t>)</w:t>
      </w:r>
      <w:r w:rsidR="009A7B75">
        <w:t xml:space="preserve"> of </w:t>
      </w:r>
      <w:r w:rsidR="006C0F8B">
        <w:t>Nigeria</w:t>
      </w:r>
      <w:r w:rsidR="00F91A45">
        <w:t xml:space="preserve"> </w:t>
      </w:r>
      <w:r w:rsidR="00A664AB">
        <w:t xml:space="preserve">projects </w:t>
      </w:r>
      <w:r w:rsidR="009A7B75">
        <w:t xml:space="preserve">approved in the 2019 HPC </w:t>
      </w:r>
      <w:r w:rsidR="002D4371">
        <w:t>applie</w:t>
      </w:r>
      <w:r w:rsidR="009A7B75">
        <w:t xml:space="preserve">d </w:t>
      </w:r>
      <w:r w:rsidR="002D4371">
        <w:t xml:space="preserve">the IASC </w:t>
      </w:r>
      <w:r w:rsidR="009A7B75">
        <w:t>Gender with Age Marker</w:t>
      </w:r>
      <w:r w:rsidR="009C707C">
        <w:t>.</w:t>
      </w:r>
      <w:r w:rsidR="00A664AB">
        <w:t xml:space="preserve">   </w:t>
      </w:r>
      <w:r w:rsidR="000C2F51">
        <w:t xml:space="preserve"> </w:t>
      </w:r>
      <w:r w:rsidR="002D4371">
        <w:t>Fourteen</w:t>
      </w:r>
      <w:r w:rsidR="002D4371" w:rsidRPr="007A21B2">
        <w:t xml:space="preserve"> additional HPC accepted projects appear to have a valid GAM Reference number,</w:t>
      </w:r>
      <w:r w:rsidR="002D4371" w:rsidRPr="007A21B2">
        <w:rPr>
          <w:u w:val="single"/>
        </w:rPr>
        <w:t xml:space="preserve"> but </w:t>
      </w:r>
      <w:r w:rsidR="002D4371">
        <w:rPr>
          <w:u w:val="single"/>
        </w:rPr>
        <w:t xml:space="preserve">users </w:t>
      </w:r>
      <w:r w:rsidR="002D4371" w:rsidRPr="007A21B2">
        <w:rPr>
          <w:u w:val="single"/>
        </w:rPr>
        <w:t>likely failed to press “submit” on completion, as the</w:t>
      </w:r>
      <w:r w:rsidR="002D4371">
        <w:rPr>
          <w:u w:val="single"/>
        </w:rPr>
        <w:t>se</w:t>
      </w:r>
      <w:r w:rsidR="002D4371" w:rsidRPr="007A21B2">
        <w:rPr>
          <w:u w:val="single"/>
        </w:rPr>
        <w:t xml:space="preserve"> forms are not found in the GAM database</w:t>
      </w:r>
      <w:r w:rsidR="002D4371" w:rsidRPr="006D3D6B">
        <w:t xml:space="preserve">.  </w:t>
      </w:r>
      <w:r w:rsidR="00864B11">
        <w:t>F</w:t>
      </w:r>
      <w:r w:rsidR="00B4030F">
        <w:t>our</w:t>
      </w:r>
      <w:r w:rsidR="00864B11">
        <w:t xml:space="preserve"> </w:t>
      </w:r>
      <w:r w:rsidR="00005C8B">
        <w:t xml:space="preserve">organizations used the same GAM form for </w:t>
      </w:r>
      <w:r w:rsidR="00B4030F">
        <w:t>two</w:t>
      </w:r>
      <w:r w:rsidR="00005C8B">
        <w:t xml:space="preserve"> projects (</w:t>
      </w:r>
      <w:r w:rsidR="00B4030F">
        <w:t xml:space="preserve">Terre des hommes, </w:t>
      </w:r>
      <w:r w:rsidR="00B4030F" w:rsidRPr="00B4030F">
        <w:t>Jireh Doo Foundation</w:t>
      </w:r>
      <w:r w:rsidR="00B4030F">
        <w:t xml:space="preserve">, </w:t>
      </w:r>
      <w:r w:rsidR="00B4030F" w:rsidRPr="00B4030F">
        <w:t>Grow Strong Foundation</w:t>
      </w:r>
      <w:r w:rsidR="00B4030F">
        <w:t xml:space="preserve"> and ACF;</w:t>
      </w:r>
      <w:r w:rsidR="000E4316">
        <w:t>)</w:t>
      </w:r>
      <w:r w:rsidR="00B4030F">
        <w:t xml:space="preserve"> FAO and UNFPA also submitted the same GAM for two of their projects. </w:t>
      </w:r>
      <w:r w:rsidR="000E4316">
        <w:t xml:space="preserve"> </w:t>
      </w:r>
      <w:r w:rsidRPr="006D3D6B">
        <w:t xml:space="preserve">139 </w:t>
      </w:r>
      <w:r w:rsidR="000C2F51">
        <w:t xml:space="preserve">projects </w:t>
      </w:r>
      <w:r w:rsidR="00252274">
        <w:t xml:space="preserve">did not </w:t>
      </w:r>
      <w:r w:rsidR="000C2F51">
        <w:t>apply the GAM.</w:t>
      </w:r>
    </w:p>
    <w:p w:rsidR="000E4316" w:rsidRDefault="000E4316" w:rsidP="00BE0EDA">
      <w:r>
        <w:t xml:space="preserve">Compared to other countries, the GAM completion rate for </w:t>
      </w:r>
      <w:r w:rsidR="006C0F8B">
        <w:t>Nigeria</w:t>
      </w:r>
      <w:r>
        <w:t xml:space="preserve"> is low, but </w:t>
      </w:r>
      <w:r w:rsidR="00FD4269">
        <w:t>not</w:t>
      </w:r>
      <w:r>
        <w:t xml:space="preserve"> surprising in the first year of use</w:t>
      </w:r>
      <w:r w:rsidRPr="00252274">
        <w:t xml:space="preserve">.    </w:t>
      </w:r>
      <w:r w:rsidR="00BE0EDA">
        <w:t xml:space="preserve">Use by UNHCR is encouraging; all six </w:t>
      </w:r>
      <w:r w:rsidR="00A7003B">
        <w:t xml:space="preserve">UNHCR </w:t>
      </w:r>
      <w:r w:rsidR="00BE0EDA">
        <w:t>projects applied the GAM.  L</w:t>
      </w:r>
      <w:r w:rsidRPr="00252274">
        <w:t xml:space="preserve">ack of use by </w:t>
      </w:r>
      <w:r w:rsidR="00BE0EDA">
        <w:t xml:space="preserve">other </w:t>
      </w:r>
      <w:r w:rsidRPr="00252274">
        <w:t xml:space="preserve">UN </w:t>
      </w:r>
      <w:r w:rsidR="00BE0EDA">
        <w:t>a</w:t>
      </w:r>
      <w:r w:rsidRPr="00252274">
        <w:t>gencies</w:t>
      </w:r>
      <w:r w:rsidR="00BE0EDA">
        <w:t xml:space="preserve"> is</w:t>
      </w:r>
      <w:r w:rsidRPr="00252274">
        <w:t xml:space="preserve"> somewhat disappointing: only </w:t>
      </w:r>
      <w:r w:rsidR="00BE0EDA">
        <w:t>one UNICEF, and two WFP and FAO projects</w:t>
      </w:r>
      <w:r w:rsidR="00252274" w:rsidRPr="00252274">
        <w:t xml:space="preserve"> </w:t>
      </w:r>
      <w:r w:rsidRPr="00252274">
        <w:t xml:space="preserve">applied the GAM.  Projects approved for </w:t>
      </w:r>
      <w:r w:rsidR="00BE0EDA">
        <w:t>IOM</w:t>
      </w:r>
      <w:r w:rsidR="00252274" w:rsidRPr="00252274">
        <w:t>, OCHA</w:t>
      </w:r>
      <w:r w:rsidR="00BE0EDA">
        <w:t>, UN</w:t>
      </w:r>
      <w:r w:rsidR="00A7003B">
        <w:t xml:space="preserve"> </w:t>
      </w:r>
      <w:r w:rsidR="00BE0EDA">
        <w:t>Women, UNDSS, UNMAS, UNFPA, UNDP</w:t>
      </w:r>
      <w:r w:rsidR="00252274" w:rsidRPr="00252274">
        <w:t xml:space="preserve"> </w:t>
      </w:r>
      <w:r w:rsidR="00BE0EDA">
        <w:t>and WHO</w:t>
      </w:r>
      <w:r w:rsidR="00252274" w:rsidRPr="00252274">
        <w:t xml:space="preserve"> </w:t>
      </w:r>
      <w:r w:rsidRPr="00252274">
        <w:t xml:space="preserve">did not </w:t>
      </w:r>
      <w:r w:rsidR="00BE0EDA">
        <w:t xml:space="preserve">use </w:t>
      </w:r>
      <w:r w:rsidRPr="00252274">
        <w:t>the GAM.</w:t>
      </w:r>
    </w:p>
    <w:p w:rsidR="005327C5" w:rsidRDefault="005327C5" w:rsidP="003B69FE">
      <w:r>
        <w:t xml:space="preserve">Sample GAM Completion Rates </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9C707C" w:rsidP="00007A76">
            <w:pPr>
              <w:jc w:val="center"/>
              <w:rPr>
                <w:rFonts w:ascii="Calibri" w:eastAsia="Times New Roman" w:hAnsi="Calibri" w:cs="Calibri"/>
                <w:color w:val="000000"/>
              </w:rPr>
            </w:pPr>
            <w:r>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6C46DE" w:rsidP="00007A76">
            <w:pPr>
              <w:jc w:val="center"/>
              <w:rPr>
                <w:rFonts w:ascii="Calibri" w:eastAsia="Times New Roman" w:hAnsi="Calibri" w:cs="Calibri"/>
                <w:color w:val="000000"/>
              </w:rPr>
            </w:pPr>
            <w:r>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FD4269" w:rsidRDefault="006C0F8B" w:rsidP="00007A76">
            <w:pPr>
              <w:jc w:val="center"/>
              <w:rPr>
                <w:rFonts w:ascii="Calibri" w:eastAsia="Times New Roman" w:hAnsi="Calibri" w:cs="Calibri"/>
                <w:b/>
                <w:bCs/>
                <w:color w:val="000000"/>
              </w:rPr>
            </w:pPr>
            <w:r>
              <w:rPr>
                <w:rFonts w:ascii="Calibri" w:eastAsia="Times New Roman" w:hAnsi="Calibri" w:cs="Calibri"/>
                <w:b/>
                <w:bCs/>
                <w:color w:val="000000"/>
              </w:rPr>
              <w:t>Nigeria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BE0EDA" w:rsidP="00007A76">
            <w:pPr>
              <w:jc w:val="center"/>
              <w:rPr>
                <w:rFonts w:ascii="Calibri" w:eastAsia="Times New Roman" w:hAnsi="Calibri" w:cs="Calibri"/>
                <w:color w:val="000000"/>
              </w:rPr>
            </w:pPr>
            <w:r>
              <w:rPr>
                <w:rFonts w:ascii="Calibri" w:eastAsia="Times New Roman" w:hAnsi="Calibri" w:cs="Calibri"/>
                <w:color w:val="000000"/>
              </w:rPr>
              <w:t>Haiti</w:t>
            </w:r>
          </w:p>
        </w:tc>
      </w:tr>
      <w:tr w:rsidR="005327C5" w:rsidRPr="005327C5" w:rsidTr="00FF3E56">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396</w:t>
            </w:r>
          </w:p>
        </w:tc>
        <w:tc>
          <w:tcPr>
            <w:tcW w:w="1114"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68</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vAlign w:val="center"/>
            <w:hideMark/>
          </w:tcPr>
          <w:p w:rsidR="005327C5" w:rsidRPr="00FD4269" w:rsidRDefault="00BE0EDA" w:rsidP="005327C5">
            <w:pPr>
              <w:jc w:val="center"/>
              <w:rPr>
                <w:rFonts w:ascii="Calibri" w:eastAsia="Times New Roman" w:hAnsi="Calibri" w:cs="Calibri"/>
                <w:b/>
                <w:bCs/>
                <w:color w:val="000000"/>
              </w:rPr>
            </w:pPr>
            <w:r>
              <w:rPr>
                <w:rFonts w:ascii="Calibri" w:eastAsia="Times New Roman" w:hAnsi="Calibri" w:cs="Calibri"/>
                <w:b/>
                <w:bCs/>
                <w:color w:val="000000"/>
              </w:rPr>
              <w:t>183</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vAlign w:val="center"/>
            <w:hideMark/>
          </w:tcPr>
          <w:p w:rsidR="005327C5" w:rsidRPr="005327C5" w:rsidRDefault="00BE0EDA" w:rsidP="005327C5">
            <w:pPr>
              <w:jc w:val="center"/>
              <w:rPr>
                <w:rFonts w:ascii="Calibri" w:eastAsia="Times New Roman" w:hAnsi="Calibri" w:cs="Calibri"/>
                <w:color w:val="000000"/>
              </w:rPr>
            </w:pPr>
            <w:r>
              <w:rPr>
                <w:rFonts w:ascii="Calibri" w:eastAsia="Times New Roman" w:hAnsi="Calibri" w:cs="Calibri"/>
                <w:color w:val="000000"/>
              </w:rPr>
              <w:t>89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9C707C" w:rsidP="005327C5">
            <w:pPr>
              <w:jc w:val="center"/>
              <w:rPr>
                <w:rFonts w:ascii="Calibri" w:eastAsia="Times New Roman" w:hAnsi="Calibri" w:cs="Calibri"/>
                <w:color w:val="000000"/>
              </w:rPr>
            </w:pPr>
            <w:r>
              <w:rPr>
                <w:rFonts w:ascii="Calibri" w:eastAsia="Times New Roman" w:hAnsi="Calibri" w:cs="Calibri"/>
                <w:color w:val="000000"/>
              </w:rPr>
              <w:t>19%</w:t>
            </w:r>
          </w:p>
        </w:tc>
        <w:tc>
          <w:tcPr>
            <w:tcW w:w="1114" w:type="dxa"/>
            <w:shd w:val="clear" w:color="auto" w:fill="D9E2F3" w:themeFill="accent1" w:themeFillTint="33"/>
            <w:noWrap/>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75</w:t>
            </w:r>
            <w:r w:rsidR="005327C5" w:rsidRPr="005327C5">
              <w:rPr>
                <w:rFonts w:ascii="Calibri" w:eastAsia="Times New Roman" w:hAnsi="Calibri" w:cs="Calibri"/>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FD4269" w:rsidRDefault="00BE0EDA" w:rsidP="005327C5">
            <w:pPr>
              <w:jc w:val="center"/>
              <w:rPr>
                <w:rFonts w:ascii="Calibri" w:eastAsia="Times New Roman" w:hAnsi="Calibri" w:cs="Calibri"/>
                <w:b/>
                <w:bCs/>
                <w:color w:val="000000"/>
              </w:rPr>
            </w:pPr>
            <w:r>
              <w:rPr>
                <w:rFonts w:ascii="Calibri" w:eastAsia="Times New Roman" w:hAnsi="Calibri" w:cs="Calibri"/>
                <w:b/>
                <w:bCs/>
                <w:color w:val="000000"/>
              </w:rPr>
              <w:t>25</w:t>
            </w:r>
            <w:r w:rsidR="005327C5" w:rsidRPr="00FD4269">
              <w:rPr>
                <w:rFonts w:ascii="Calibri" w:eastAsia="Times New Roman" w:hAnsi="Calibri" w:cs="Calibri"/>
                <w:b/>
                <w:bCs/>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BE0EDA" w:rsidP="005327C5">
            <w:pPr>
              <w:jc w:val="center"/>
              <w:rPr>
                <w:rFonts w:ascii="Calibri" w:eastAsia="Times New Roman" w:hAnsi="Calibri" w:cs="Calibri"/>
                <w:color w:val="000000"/>
              </w:rPr>
            </w:pPr>
            <w:r>
              <w:rPr>
                <w:rFonts w:ascii="Calibri" w:eastAsia="Times New Roman" w:hAnsi="Calibri" w:cs="Calibri"/>
                <w:color w:val="000000"/>
              </w:rPr>
              <w:t>19</w:t>
            </w:r>
            <w:r w:rsidR="005327C5" w:rsidRPr="005327C5">
              <w:rPr>
                <w:rFonts w:ascii="Calibri" w:eastAsia="Times New Roman" w:hAnsi="Calibri" w:cs="Calibri"/>
                <w:color w:val="000000"/>
              </w:rPr>
              <w:t>%</w:t>
            </w:r>
          </w:p>
        </w:tc>
      </w:tr>
    </w:tbl>
    <w:p w:rsidR="005327C5" w:rsidRDefault="005327C5" w:rsidP="003B69FE"/>
    <w:p w:rsidR="0068281D" w:rsidRDefault="0068281D" w:rsidP="003B69FE"/>
    <w:p w:rsidR="0068281D" w:rsidRDefault="0068281D" w:rsidP="003B69FE">
      <w:r>
        <w:t>In this first year of use, it is important to continue to raise awareness of the purpose of the GAM.</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 xml:space="preserve">The IASC Gender with Age Marker was designed </w:t>
      </w:r>
      <w:r w:rsidRPr="00FD3E3A">
        <w:rPr>
          <w:rFonts w:asciiTheme="minorHAnsi" w:hAnsiTheme="minorHAnsi" w:cs="Helvetica"/>
          <w:i/>
          <w:iCs/>
          <w:sz w:val="22"/>
          <w:szCs w:val="22"/>
        </w:rPr>
        <w:t>in response to requests from the field</w:t>
      </w:r>
      <w:r w:rsidRPr="00FD3E3A">
        <w:rPr>
          <w:rFonts w:asciiTheme="minorHAnsi" w:hAnsiTheme="minorHAnsi" w:cs="Helvetica"/>
          <w:sz w:val="22"/>
          <w:szCs w:val="22"/>
        </w:rPr>
        <w:t xml:space="preserve"> for a tool that would help them understand </w:t>
      </w:r>
      <w:r w:rsidRPr="00FD3E3A">
        <w:rPr>
          <w:rFonts w:asciiTheme="minorHAnsi" w:hAnsiTheme="minorHAnsi" w:cs="Helvetica"/>
          <w:sz w:val="22"/>
          <w:szCs w:val="22"/>
          <w:u w:val="single"/>
        </w:rPr>
        <w:t>HOW</w:t>
      </w:r>
      <w:r w:rsidRPr="00FD3E3A">
        <w:rPr>
          <w:rFonts w:asciiTheme="minorHAnsi" w:hAnsiTheme="minorHAnsi" w:cs="Helvetica"/>
          <w:sz w:val="22"/>
          <w:szCs w:val="22"/>
        </w:rPr>
        <w:t> to do better gender equality programming.  People knew they weren’t getting it right, but there was little practical advice on HOW projects could be improved.</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rsidR="0068281D" w:rsidRPr="00FD3E3A" w:rsidRDefault="0068281D" w:rsidP="0068281D">
      <w:r w:rsidRPr="00FD3E3A">
        <w:rPr>
          <w:rFonts w:cs="Helvetica"/>
        </w:rPr>
        <w:t>It is the </w:t>
      </w:r>
      <w:r w:rsidRPr="00FD3E3A">
        <w:rPr>
          <w:rStyle w:val="Emphasis"/>
          <w:rFonts w:cs="Helvetica"/>
        </w:rPr>
        <w:t>process</w:t>
      </w:r>
      <w:r w:rsidRPr="00FD3E3A">
        <w:rPr>
          <w:rFonts w:cs="Helvetica"/>
        </w:rPr>
        <w:t> of discussing and answering the GAM questions about these programming actions that creates better projects (not the results that are achieved.)  Ideally the GAM is used as a team planning or monitoring exercise. </w:t>
      </w:r>
    </w:p>
    <w:p w:rsidR="0068281D" w:rsidRPr="00FD3E3A" w:rsidRDefault="0068281D" w:rsidP="003B69FE"/>
    <w:p w:rsidR="009A7B75" w:rsidRDefault="006C0F8B" w:rsidP="003B69FE">
      <w:r>
        <w:t>Nigeria</w:t>
      </w:r>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rsidR="006968CA" w:rsidRDefault="002A3387" w:rsidP="00D77612">
      <w:r>
        <w:rPr>
          <w:noProof/>
        </w:rPr>
        <w:lastRenderedPageBreak/>
        <w:drawing>
          <wp:anchor distT="0" distB="0" distL="114300" distR="114300" simplePos="0" relativeHeight="251691008" behindDoc="0" locked="0" layoutInCell="1" allowOverlap="1" wp14:anchorId="09E57CDB">
            <wp:simplePos x="0" y="0"/>
            <wp:positionH relativeFrom="column">
              <wp:posOffset>3295650</wp:posOffset>
            </wp:positionH>
            <wp:positionV relativeFrom="paragraph">
              <wp:posOffset>257175</wp:posOffset>
            </wp:positionV>
            <wp:extent cx="2799080" cy="18573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080" cy="1857375"/>
                    </a:xfrm>
                    <a:prstGeom prst="rect">
                      <a:avLst/>
                    </a:prstGeom>
                    <a:noFill/>
                  </pic:spPr>
                </pic:pic>
              </a:graphicData>
            </a:graphic>
            <wp14:sizeRelH relativeFrom="margin">
              <wp14:pctWidth>0</wp14:pctWidth>
            </wp14:sizeRelH>
            <wp14:sizeRelV relativeFrom="margin">
              <wp14:pctHeight>0</wp14:pctHeight>
            </wp14:sizeRelV>
          </wp:anchor>
        </w:drawing>
      </w:r>
    </w:p>
    <w:p w:rsidR="00D77612" w:rsidRDefault="00F91A45" w:rsidP="002A3387">
      <w:r w:rsidRPr="006968CA">
        <w:t xml:space="preserve">Of the </w:t>
      </w:r>
      <w:r w:rsidR="00984367">
        <w:t>44</w:t>
      </w:r>
      <w:r w:rsidRPr="006968CA">
        <w:t xml:space="preserve"> projects applying the GAM, </w:t>
      </w:r>
      <w:r w:rsidR="002303AC">
        <w:t>84%</w:t>
      </w:r>
      <w:r w:rsidR="000C2F51" w:rsidRPr="006968CA">
        <w:t xml:space="preserve"> (</w:t>
      </w:r>
      <w:r w:rsidR="002303AC">
        <w:t>37</w:t>
      </w:r>
      <w:r w:rsidR="006968CA">
        <w:t xml:space="preserve">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throughout their program</w:t>
      </w:r>
      <w:r w:rsidR="002303AC">
        <w:t>. Four</w:t>
      </w:r>
      <w:r w:rsidR="006968CA">
        <w:t xml:space="preserve"> project</w:t>
      </w:r>
      <w:r w:rsidR="002303AC">
        <w:t>s</w:t>
      </w:r>
      <w:r w:rsidR="006968CA">
        <w:t xml:space="preserve"> </w:t>
      </w:r>
      <w:r w:rsidR="002303AC">
        <w:t>are</w:t>
      </w:r>
      <w:r w:rsidR="006968CA">
        <w:t xml:space="preserve"> targeted action</w:t>
      </w:r>
      <w:r w:rsidR="002303AC">
        <w:t>s</w:t>
      </w:r>
      <w:r w:rsidR="006968CA">
        <w:t xml:space="preserve"> (“T</w:t>
      </w:r>
      <w:r w:rsidR="00EE0F64">
        <w:t xml:space="preserve">”) with a specific purpose to reduce inequality.  </w:t>
      </w:r>
      <w:r w:rsidR="00A664AB" w:rsidRPr="006968CA">
        <w:t xml:space="preserve">There </w:t>
      </w:r>
      <w:r w:rsidR="004F71CE">
        <w:t>are</w:t>
      </w:r>
      <w:r w:rsidR="002303AC">
        <w:t xml:space="preserve"> only three project</w:t>
      </w:r>
      <w:r w:rsidR="004F71CE">
        <w:t>s</w:t>
      </w:r>
      <w:r w:rsidR="002303AC">
        <w:t xml:space="preserve"> that do not</w:t>
      </w:r>
      <w:r w:rsidR="00A664AB" w:rsidRPr="006968CA">
        <w:t xml:space="preserve"> mainstream gender</w:t>
      </w:r>
      <w:r w:rsidR="00D77612" w:rsidRPr="006968CA">
        <w:t>.</w:t>
      </w:r>
      <w:r w:rsidR="002C5E53">
        <w:t xml:space="preserve">  </w:t>
      </w:r>
      <w:r w:rsidR="000C37C9">
        <w:t>No</w:t>
      </w:r>
      <w:r w:rsidR="00D77612">
        <w:t xml:space="preserve"> projects indicate that </w:t>
      </w:r>
      <w:r w:rsidR="00BC714C">
        <w:t xml:space="preserve">gender differences are not applicable (NA - </w:t>
      </w:r>
      <w:r w:rsidR="00D77612">
        <w:t>they have no contact with or influence on services for affected people</w:t>
      </w:r>
      <w:r w:rsidR="00BC714C">
        <w:t>.)</w:t>
      </w:r>
    </w:p>
    <w:p w:rsidR="00A664AB" w:rsidRDefault="00A664AB" w:rsidP="00D77612">
      <w:pPr>
        <w:ind w:right="110"/>
        <w:rPr>
          <w:noProof/>
        </w:rPr>
      </w:pPr>
    </w:p>
    <w:p w:rsidR="00914FD8" w:rsidRDefault="00A11C7B" w:rsidP="009A7B75">
      <w:pPr>
        <w:ind w:right="110"/>
      </w:pPr>
      <w:r>
        <w:rPr>
          <w:noProof/>
        </w:rPr>
        <w:drawing>
          <wp:anchor distT="0" distB="0" distL="114300" distR="114300" simplePos="0" relativeHeight="251692032" behindDoc="0" locked="0" layoutInCell="1" allowOverlap="1" wp14:anchorId="108683EC">
            <wp:simplePos x="0" y="0"/>
            <wp:positionH relativeFrom="column">
              <wp:posOffset>0</wp:posOffset>
            </wp:positionH>
            <wp:positionV relativeFrom="paragraph">
              <wp:posOffset>280670</wp:posOffset>
            </wp:positionV>
            <wp:extent cx="3181350" cy="23101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2310130"/>
                    </a:xfrm>
                    <a:prstGeom prst="rect">
                      <a:avLst/>
                    </a:prstGeom>
                    <a:noFill/>
                  </pic:spPr>
                </pic:pic>
              </a:graphicData>
            </a:graphic>
            <wp14:sizeRelH relativeFrom="margin">
              <wp14:pctWidth>0</wp14:pctWidth>
            </wp14:sizeRelH>
            <wp14:sizeRelV relativeFrom="margin">
              <wp14:pctHeight>0</wp14:pctHeight>
            </wp14:sizeRelV>
          </wp:anchor>
        </w:drawing>
      </w:r>
    </w:p>
    <w:p w:rsidR="00FD4269" w:rsidRDefault="00FD4269" w:rsidP="00FD4269"/>
    <w:p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w:t>
      </w:r>
      <w:r w:rsidR="00CA464D">
        <w:t>89</w:t>
      </w:r>
      <w:r w:rsidR="003221EA">
        <w:t xml:space="preserve">% </w:t>
      </w:r>
      <w:r w:rsidRPr="00BB22AA">
        <w:t>of projects show intention to address gender and age differences in their projects.</w:t>
      </w:r>
    </w:p>
    <w:p w:rsidR="00565FBE" w:rsidRDefault="00565FBE" w:rsidP="00565FBE">
      <w:pPr>
        <w:rPr>
          <w:i/>
          <w:iCs/>
        </w:rPr>
      </w:pPr>
    </w:p>
    <w:p w:rsidR="00F414C9" w:rsidRDefault="00F414C9" w:rsidP="00565FBE">
      <w:pPr>
        <w:rPr>
          <w:i/>
          <w:iCs/>
        </w:rPr>
      </w:pPr>
    </w:p>
    <w:p w:rsidR="00565FBE" w:rsidRDefault="00565FBE" w:rsidP="00565FBE">
      <w:pPr>
        <w:rPr>
          <w:i/>
          <w:iCs/>
        </w:rPr>
      </w:pPr>
    </w:p>
    <w:p w:rsidR="00EB288F" w:rsidRDefault="00EB288F" w:rsidP="00B85229">
      <w:pPr>
        <w:rPr>
          <w:noProof/>
        </w:rPr>
      </w:pPr>
    </w:p>
    <w:p w:rsidR="00565FBE" w:rsidRDefault="00D26FEE" w:rsidP="00B85229">
      <w:r>
        <w:rPr>
          <w:noProof/>
        </w:rPr>
        <w:drawing>
          <wp:anchor distT="0" distB="0" distL="114300" distR="114300" simplePos="0" relativeHeight="251693056" behindDoc="0" locked="0" layoutInCell="1" allowOverlap="1" wp14:anchorId="129675AE">
            <wp:simplePos x="0" y="0"/>
            <wp:positionH relativeFrom="column">
              <wp:posOffset>3181350</wp:posOffset>
            </wp:positionH>
            <wp:positionV relativeFrom="paragraph">
              <wp:posOffset>21590</wp:posOffset>
            </wp:positionV>
            <wp:extent cx="2934970" cy="2362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970" cy="2362200"/>
                    </a:xfrm>
                    <a:prstGeom prst="rect">
                      <a:avLst/>
                    </a:prstGeom>
                    <a:noFill/>
                  </pic:spPr>
                </pic:pic>
              </a:graphicData>
            </a:graphic>
            <wp14:sizeRelH relativeFrom="margin">
              <wp14:pctWidth>0</wp14:pctWidth>
            </wp14:sizeRelH>
            <wp14:sizeRelV relativeFrom="margin">
              <wp14:pctHeight>0</wp14:pctHeight>
            </wp14:sizeRelV>
          </wp:anchor>
        </w:drawing>
      </w:r>
      <w:r w:rsidR="002A3387">
        <w:rPr>
          <w:noProof/>
        </w:rPr>
        <w:t xml:space="preserve">21/44 </w:t>
      </w:r>
      <w:r w:rsidR="00FB2B59">
        <w:rPr>
          <w:noProof/>
        </w:rPr>
        <w:t xml:space="preserve">of </w:t>
      </w:r>
      <w:r w:rsidR="006C0F8B">
        <w:rPr>
          <w:noProof/>
        </w:rPr>
        <w:t>Nigeria</w:t>
      </w:r>
      <w:r w:rsidR="00FB2B59">
        <w:rPr>
          <w:noProof/>
        </w:rPr>
        <w:t xml:space="preserve"> projects with GAM</w:t>
      </w:r>
      <w:r w:rsidR="006B4F04">
        <w:rPr>
          <w:noProof/>
        </w:rPr>
        <w:t xml:space="preserve"> forms</w:t>
      </w:r>
      <w:r w:rsidR="00565FBE" w:rsidRPr="004E3377">
        <w:t xml:space="preserve"> (</w:t>
      </w:r>
      <w:r w:rsidR="00FB2B59">
        <w:t>4</w:t>
      </w:r>
      <w:r w:rsidR="002A3387">
        <w:t>8</w:t>
      </w:r>
      <w:r w:rsidR="00565FBE">
        <w:t>%) 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6C0F8B">
        <w:t>Nigeria</w:t>
      </w:r>
      <w:r w:rsidR="000B6ABE">
        <w:t>.</w:t>
      </w:r>
      <w:r w:rsidR="00565FBE">
        <w:t xml:space="preserve">  </w:t>
      </w:r>
      <w:r w:rsidR="00FF63EF">
        <w:t xml:space="preserve">An additional </w:t>
      </w:r>
      <w:r>
        <w:t>9</w:t>
      </w:r>
      <w:r w:rsidR="00B85229">
        <w:t>%</w:t>
      </w:r>
      <w:r w:rsidR="00FB2B59">
        <w:t xml:space="preserve"> (</w:t>
      </w:r>
      <w:r>
        <w:t>4</w:t>
      </w:r>
      <w:r w:rsidR="00FB2B59">
        <w:t xml:space="preserve"> projects</w:t>
      </w:r>
      <w:r w:rsidR="00B85229">
        <w:t>)</w:t>
      </w:r>
      <w:r w:rsidR="00565FBE">
        <w:t xml:space="preserve"> have a limited concept of analysis,</w:t>
      </w:r>
      <w:r w:rsidR="00565FBE" w:rsidRPr="004E3377">
        <w:t xml:space="preserve"> express</w:t>
      </w:r>
      <w:r w:rsidR="00565FBE">
        <w:t>ing</w:t>
      </w:r>
      <w:r w:rsidR="00565FBE" w:rsidRPr="004E3377">
        <w:t xml:space="preserve"> a</w:t>
      </w:r>
      <w:r w:rsidR="00565FBE">
        <w:t xml:space="preserve">n intention </w:t>
      </w:r>
      <w:r w:rsidR="00565FBE" w:rsidRPr="004E3377">
        <w:t>to address inequality as oppos</w:t>
      </w:r>
      <w:r w:rsidR="00565FBE">
        <w:t>ed to an analysis of it, or citing</w:t>
      </w:r>
      <w:r w:rsidR="00565FBE" w:rsidRPr="004E3377">
        <w:t xml:space="preserve"> disaggregated statistics often unrelated to their sector or activities.  </w:t>
      </w:r>
      <w:r w:rsidR="00B85229">
        <w:t>Several</w:t>
      </w:r>
      <w:r w:rsidR="00565FBE" w:rsidRPr="004E3377">
        <w:t xml:space="preserve"> projects focus their analysis </w:t>
      </w:r>
      <w:r w:rsidR="00FB2B59">
        <w:t xml:space="preserve">almost </w:t>
      </w:r>
      <w:r w:rsidR="00565FBE" w:rsidRPr="004E3377">
        <w:t>exclusively on gender-based violence</w:t>
      </w:r>
      <w:r w:rsidR="008E50A5">
        <w:t>.</w:t>
      </w:r>
      <w:r w:rsidR="00565FBE" w:rsidRPr="004E3377">
        <w:t xml:space="preserve"> </w:t>
      </w:r>
      <w:r w:rsidR="00FF63EF">
        <w:t xml:space="preserve"> </w:t>
      </w:r>
      <w:r>
        <w:t>Nineteen</w:t>
      </w:r>
      <w:r w:rsidR="00FF63EF">
        <w:t xml:space="preserve"> </w:t>
      </w:r>
      <w:r w:rsidR="00565FBE" w:rsidRPr="004E3377">
        <w:t>projects (</w:t>
      </w:r>
      <w:r>
        <w:t>43</w:t>
      </w:r>
      <w:r w:rsidR="00565FBE">
        <w:t>%</w:t>
      </w:r>
      <w:r w:rsidR="00565FBE" w:rsidRPr="004E3377">
        <w:t>) have no gender analysis</w:t>
      </w:r>
      <w:r w:rsidR="00565FBE">
        <w:t>.</w:t>
      </w:r>
      <w:r w:rsidR="00A11C7B">
        <w:t xml:space="preserve">   </w:t>
      </w:r>
      <w:r>
        <w:t>These projects may need support to understand how the marginalization of certain groups will impact on delivery of their services.</w:t>
      </w:r>
    </w:p>
    <w:p w:rsidR="00D26FEE" w:rsidRDefault="00D26FEE" w:rsidP="00B85229"/>
    <w:p w:rsidR="00E504E2" w:rsidRDefault="004A33C6" w:rsidP="00B411A4">
      <w:r>
        <w:rPr>
          <w:noProof/>
        </w:rPr>
        <w:lastRenderedPageBreak/>
        <w:drawing>
          <wp:anchor distT="0" distB="0" distL="114300" distR="114300" simplePos="0" relativeHeight="251694080" behindDoc="0" locked="0" layoutInCell="1" allowOverlap="1" wp14:anchorId="608BCFCC">
            <wp:simplePos x="0" y="0"/>
            <wp:positionH relativeFrom="column">
              <wp:posOffset>0</wp:posOffset>
            </wp:positionH>
            <wp:positionV relativeFrom="paragraph">
              <wp:posOffset>0</wp:posOffset>
            </wp:positionV>
            <wp:extent cx="2622550" cy="19050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550" cy="1905000"/>
                    </a:xfrm>
                    <a:prstGeom prst="rect">
                      <a:avLst/>
                    </a:prstGeom>
                    <a:noFill/>
                  </pic:spPr>
                </pic:pic>
              </a:graphicData>
            </a:graphic>
            <wp14:sizeRelH relativeFrom="margin">
              <wp14:pctWidth>0</wp14:pctWidth>
            </wp14:sizeRelH>
            <wp14:sizeRelV relativeFrom="margin">
              <wp14:pctHeight>0</wp14:pctHeight>
            </wp14:sizeRelV>
          </wp:anchor>
        </w:drawing>
      </w:r>
      <w:r w:rsidR="004E75CA">
        <w:t>In their</w:t>
      </w:r>
      <w:r w:rsidR="00E504E2">
        <w:t xml:space="preserve"> analysis, </w:t>
      </w:r>
      <w:r>
        <w:t>66</w:t>
      </w:r>
      <w:r w:rsidR="009C0FCC">
        <w:t>% of project</w:t>
      </w:r>
      <w:r w:rsidR="00982D19">
        <w:t>s</w:t>
      </w:r>
      <w:r w:rsidR="009C0FCC">
        <w:t xml:space="preserve"> say they consider women</w:t>
      </w:r>
      <w:r>
        <w:t xml:space="preserve"> and </w:t>
      </w:r>
      <w:r w:rsidR="009C0FCC">
        <w:t>girls</w:t>
      </w:r>
      <w:r>
        <w:t xml:space="preserve"> and</w:t>
      </w:r>
      <w:r w:rsidR="009C0FCC">
        <w:t xml:space="preserve"> boys and men.  Overall, </w:t>
      </w:r>
      <w:r w:rsidR="000D7966">
        <w:t xml:space="preserve">girls </w:t>
      </w:r>
      <w:r>
        <w:t xml:space="preserve">and boys </w:t>
      </w:r>
      <w:r w:rsidR="000D7966">
        <w:t xml:space="preserve">are a focus of analysis in </w:t>
      </w:r>
      <w:r>
        <w:t>98</w:t>
      </w:r>
      <w:r w:rsidR="000D7966">
        <w:t xml:space="preserve">% and </w:t>
      </w:r>
      <w:r>
        <w:t>91</w:t>
      </w:r>
      <w:r w:rsidR="000D7966">
        <w:t>%</w:t>
      </w:r>
      <w:r w:rsidR="004E75CA">
        <w:t xml:space="preserve"> of projects </w:t>
      </w:r>
      <w:r w:rsidR="000D7966">
        <w:t xml:space="preserve">respectively, while </w:t>
      </w:r>
      <w:r>
        <w:t>89</w:t>
      </w:r>
      <w:r w:rsidR="000D7966">
        <w:t xml:space="preserve">% and </w:t>
      </w:r>
      <w:r>
        <w:t>73</w:t>
      </w:r>
      <w:r w:rsidR="000D7966">
        <w:t xml:space="preserve">% specifically include </w:t>
      </w:r>
      <w:r>
        <w:t xml:space="preserve">women and </w:t>
      </w:r>
      <w:r w:rsidR="000D7966">
        <w:t xml:space="preserve">men.  </w:t>
      </w:r>
      <w:r>
        <w:t>Six</w:t>
      </w:r>
      <w:r w:rsidR="000D7966">
        <w:t xml:space="preserve">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AF36FE">
        <w:t xml:space="preserve">is </w:t>
      </w:r>
      <w:r w:rsidR="000D7966">
        <w:t>may be</w:t>
      </w:r>
      <w:r w:rsidR="00E504E2">
        <w:t xml:space="preserve"> confusion about the definition as this gender group is not mentioned in the narrative analyses. </w:t>
      </w:r>
      <w:r w:rsidR="00C930BD">
        <w:t xml:space="preserve"> </w:t>
      </w:r>
      <w:r w:rsidR="00E504E2">
        <w:t xml:space="preserve">  </w:t>
      </w:r>
      <w:r w:rsidR="00E504E2">
        <w:tab/>
        <w:t xml:space="preserve"> </w:t>
      </w:r>
    </w:p>
    <w:p w:rsidR="004E75CA" w:rsidRDefault="004E75CA" w:rsidP="00E504E2"/>
    <w:p w:rsidR="0049542D" w:rsidRDefault="0049542D" w:rsidP="00E504E2"/>
    <w:p w:rsidR="005327C5" w:rsidRDefault="003676D3" w:rsidP="005327C5">
      <w:r>
        <w:rPr>
          <w:noProof/>
        </w:rPr>
        <w:drawing>
          <wp:anchor distT="0" distB="0" distL="114300" distR="114300" simplePos="0" relativeHeight="251695104" behindDoc="0" locked="0" layoutInCell="1" allowOverlap="1" wp14:anchorId="23E11759">
            <wp:simplePos x="0" y="0"/>
            <wp:positionH relativeFrom="column">
              <wp:posOffset>3543300</wp:posOffset>
            </wp:positionH>
            <wp:positionV relativeFrom="paragraph">
              <wp:posOffset>61595</wp:posOffset>
            </wp:positionV>
            <wp:extent cx="2738120" cy="1988185"/>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8120" cy="1988185"/>
                    </a:xfrm>
                    <a:prstGeom prst="rect">
                      <a:avLst/>
                    </a:prstGeom>
                    <a:noFill/>
                  </pic:spPr>
                </pic:pic>
              </a:graphicData>
            </a:graphic>
            <wp14:sizeRelH relativeFrom="margin">
              <wp14:pctWidth>0</wp14:pctWidth>
            </wp14:sizeRelH>
            <wp14:sizeRelV relativeFrom="margin">
              <wp14:pctHeight>0</wp14:pctHeight>
            </wp14:sizeRelV>
          </wp:anchor>
        </w:drawing>
      </w:r>
    </w:p>
    <w:p w:rsidR="009C0FCC" w:rsidRDefault="0049542D" w:rsidP="005327C5">
      <w:r>
        <w:t>In contrast, on</w:t>
      </w:r>
      <w:r w:rsidR="00EC172C">
        <w:t xml:space="preserve">ly </w:t>
      </w:r>
      <w:r>
        <w:t>30% of</w:t>
      </w:r>
      <w:r w:rsidR="009C0FCC">
        <w:t xml:space="preserve"> projects indicate their analysis includes all age groups</w:t>
      </w:r>
      <w:r w:rsidR="00EC172C">
        <w:t xml:space="preserve">; </w:t>
      </w:r>
      <w:r w:rsidR="009C0FCC">
        <w:t xml:space="preserve">the majority are more selective.  </w:t>
      </w:r>
      <w:r w:rsidR="00EC172C">
        <w:t xml:space="preserve"> </w:t>
      </w:r>
      <w:r>
        <w:t>Adolescents and children are</w:t>
      </w:r>
      <w:r w:rsidR="00EC172C">
        <w:t xml:space="preserve"> a focus of analysis in </w:t>
      </w:r>
      <w:r>
        <w:t>89</w:t>
      </w:r>
      <w:r w:rsidR="00EC172C">
        <w:t>%</w:t>
      </w:r>
      <w:r>
        <w:t xml:space="preserve"> and 80%</w:t>
      </w:r>
      <w:r w:rsidR="00EC172C">
        <w:t xml:space="preserve"> of projects</w:t>
      </w:r>
      <w:r>
        <w:t xml:space="preserve"> respectively</w:t>
      </w:r>
      <w:r w:rsidR="00EC172C">
        <w:t xml:space="preserve">.  </w:t>
      </w:r>
      <w:r w:rsidR="009C0FCC">
        <w:t xml:space="preserve">Only </w:t>
      </w:r>
      <w:r>
        <w:t>50</w:t>
      </w:r>
      <w:r w:rsidR="009C0FCC">
        <w:t xml:space="preserve">% of projects specifically </w:t>
      </w:r>
      <w:r>
        <w:t>consider the situation of</w:t>
      </w:r>
      <w:r w:rsidR="009C0FCC">
        <w:t xml:space="preserve"> older adults</w:t>
      </w:r>
      <w:r w:rsidR="00EC172C">
        <w:t xml:space="preserve">, </w:t>
      </w:r>
      <w:r w:rsidR="0097325C">
        <w:t>and 61% with middle-aged adults and young c</w:t>
      </w:r>
      <w:r w:rsidR="00EC172C">
        <w:t>hildren</w:t>
      </w:r>
      <w:r w:rsidR="000651FB">
        <w:t xml:space="preserve">.  </w:t>
      </w:r>
      <w:r w:rsidR="0097325C">
        <w:t xml:space="preserve">All </w:t>
      </w:r>
      <w:r w:rsidR="00EC172C">
        <w:t>project</w:t>
      </w:r>
      <w:r w:rsidR="009C0FCC">
        <w:t xml:space="preserve">s specify age groups </w:t>
      </w:r>
      <w:r w:rsidR="00EC172C">
        <w:t>in their analysis</w:t>
      </w:r>
      <w:r w:rsidR="009C0FCC">
        <w:t>.</w:t>
      </w:r>
    </w:p>
    <w:p w:rsidR="009C0FCC" w:rsidRDefault="009C0FCC" w:rsidP="00E504E2"/>
    <w:p w:rsidR="005327C5" w:rsidRDefault="005327C5" w:rsidP="00E504E2"/>
    <w:p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1F7724" w:rsidRDefault="00B411A4" w:rsidP="001F7724">
      <w:r>
        <w:rPr>
          <w:noProof/>
        </w:rPr>
        <w:drawing>
          <wp:anchor distT="0" distB="0" distL="114300" distR="114300" simplePos="0" relativeHeight="251696128" behindDoc="0" locked="0" layoutInCell="1" allowOverlap="1" wp14:anchorId="376B0A31">
            <wp:simplePos x="0" y="0"/>
            <wp:positionH relativeFrom="column">
              <wp:posOffset>0</wp:posOffset>
            </wp:positionH>
            <wp:positionV relativeFrom="paragraph">
              <wp:posOffset>282575</wp:posOffset>
            </wp:positionV>
            <wp:extent cx="2781300" cy="2019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0" cy="201930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BD2321" w:rsidP="001F7724">
      <w:r>
        <w:t>5</w:t>
      </w:r>
      <w:r w:rsidR="003676D3">
        <w:t>2</w:t>
      </w:r>
      <w:r w:rsidR="00E504E2">
        <w:t xml:space="preserve">% 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t>3</w:t>
      </w:r>
      <w:r w:rsidR="003676D3">
        <w:t>9</w:t>
      </w:r>
      <w:r w:rsidR="00E504E2">
        <w:t xml:space="preserve">% tailor activities based on </w:t>
      </w:r>
      <w:r>
        <w:t xml:space="preserve">the </w:t>
      </w:r>
      <w:r w:rsidR="00E504E2">
        <w:t xml:space="preserve">different needs.    There </w:t>
      </w:r>
      <w:r w:rsidR="003676D3">
        <w:t>are four projects</w:t>
      </w:r>
      <w:r w:rsidR="00E504E2">
        <w:t xml:space="preserve"> that constitute “targeted action</w:t>
      </w:r>
      <w:r w:rsidR="003676D3">
        <w:t>s</w:t>
      </w:r>
      <w:r w:rsidR="00E504E2">
        <w:t>” (Code T) to reduce gender barriers or discrimination</w:t>
      </w:r>
      <w:r w:rsidR="00621697">
        <w:t>; th</w:t>
      </w:r>
      <w:r>
        <w:t>e</w:t>
      </w:r>
      <w:r w:rsidR="003676D3">
        <w:t>s</w:t>
      </w:r>
      <w:r>
        <w:t xml:space="preserve">e are </w:t>
      </w:r>
      <w:r w:rsidR="003676D3">
        <w:t>expected to be a small proportion of</w:t>
      </w:r>
      <w:r>
        <w:t xml:space="preserve"> projects </w:t>
      </w:r>
      <w:r w:rsidR="00E504E2">
        <w:t xml:space="preserve">in </w:t>
      </w:r>
      <w:r w:rsidR="00621697">
        <w:t>humanitarian setting</w:t>
      </w:r>
      <w:r w:rsidR="00E504E2">
        <w:t xml:space="preserve">s.  </w:t>
      </w:r>
    </w:p>
    <w:p w:rsidR="00246F23" w:rsidRDefault="00246F23" w:rsidP="00E504E2"/>
    <w:p w:rsidR="006837FD" w:rsidRDefault="006837FD" w:rsidP="00E504E2"/>
    <w:p w:rsidR="006837FD" w:rsidRDefault="006837FD" w:rsidP="00621E5A">
      <w:pPr>
        <w:rPr>
          <w:noProof/>
        </w:rPr>
      </w:pPr>
    </w:p>
    <w:p w:rsidR="00E87AC0" w:rsidRDefault="00E87AC0" w:rsidP="00621E5A"/>
    <w:p w:rsidR="00E87AC0" w:rsidRDefault="00E87AC0" w:rsidP="00621E5A"/>
    <w:p w:rsidR="00D866A1" w:rsidRDefault="00D06B91" w:rsidP="00621E5A">
      <w:r>
        <w:rPr>
          <w:noProof/>
        </w:rPr>
        <w:drawing>
          <wp:anchor distT="0" distB="0" distL="114300" distR="114300" simplePos="0" relativeHeight="251697152" behindDoc="0" locked="0" layoutInCell="1" allowOverlap="1" wp14:anchorId="015D414F">
            <wp:simplePos x="0" y="0"/>
            <wp:positionH relativeFrom="column">
              <wp:posOffset>3105150</wp:posOffset>
            </wp:positionH>
            <wp:positionV relativeFrom="paragraph">
              <wp:posOffset>47625</wp:posOffset>
            </wp:positionV>
            <wp:extent cx="2819538" cy="20478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538" cy="2047875"/>
                    </a:xfrm>
                    <a:prstGeom prst="rect">
                      <a:avLst/>
                    </a:prstGeom>
                    <a:noFill/>
                  </pic:spPr>
                </pic:pic>
              </a:graphicData>
            </a:graphic>
          </wp:anchor>
        </w:drawing>
      </w:r>
      <w:r w:rsidR="00E504E2">
        <w:t xml:space="preserve">How affected people participate differs widely among projects and shows meaningful response. While </w:t>
      </w:r>
      <w:r>
        <w:t>thirteen</w:t>
      </w:r>
      <w:r w:rsidR="006837FD">
        <w:t xml:space="preserve"> projects</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6837FD">
        <w:t>The largest proportion of projects invo</w:t>
      </w:r>
      <w:r w:rsidR="00E504E2">
        <w:t>lve beneficiaries in</w:t>
      </w:r>
      <w:r w:rsidR="00D866A1">
        <w:rPr>
          <w:i/>
          <w:iCs/>
        </w:rPr>
        <w:t xml:space="preserve"> </w:t>
      </w:r>
      <w:r w:rsidR="00D866A1">
        <w:t>assessing needs</w:t>
      </w:r>
      <w:r>
        <w:t xml:space="preserve">, followed by delivering assistance and </w:t>
      </w:r>
      <w:r w:rsidR="006837FD">
        <w:t>designing activities</w:t>
      </w:r>
      <w:r w:rsidR="00D866A1">
        <w:t xml:space="preserve">.   Only </w:t>
      </w:r>
      <w:r>
        <w:t>43%</w:t>
      </w:r>
      <w:r w:rsidR="00D866A1">
        <w:t xml:space="preserve"> of projects have beneficiaries involved in project review and revision.   </w:t>
      </w:r>
      <w:r w:rsidR="006837FD">
        <w:t xml:space="preserve">There </w:t>
      </w:r>
      <w:r>
        <w:t xml:space="preserve">is </w:t>
      </w:r>
      <w:r w:rsidR="006B4F04">
        <w:t xml:space="preserve">only </w:t>
      </w:r>
      <w:r>
        <w:t>one project whe</w:t>
      </w:r>
      <w:r w:rsidR="008D1147">
        <w:t>re</w:t>
      </w:r>
      <w:r w:rsidR="00D866A1">
        <w:t xml:space="preserve"> affected people </w:t>
      </w:r>
      <w:r w:rsidR="006837FD">
        <w:t>will not be</w:t>
      </w:r>
      <w:r w:rsidR="00D866A1">
        <w:t xml:space="preserve"> involved in any of these activities.</w:t>
      </w:r>
    </w:p>
    <w:p w:rsidR="00246F23" w:rsidRDefault="00246F23" w:rsidP="00E504E2"/>
    <w:p w:rsidR="00E87AC0" w:rsidRDefault="00E87AC0" w:rsidP="00E504E2"/>
    <w:p w:rsidR="00E87AC0" w:rsidRDefault="00E87AC0" w:rsidP="00E504E2"/>
    <w:p w:rsidR="00621E5A" w:rsidRDefault="008D1147" w:rsidP="00E504E2">
      <w:r>
        <w:rPr>
          <w:noProof/>
        </w:rPr>
        <w:drawing>
          <wp:anchor distT="0" distB="0" distL="114300" distR="114300" simplePos="0" relativeHeight="251698176" behindDoc="0" locked="0" layoutInCell="1" allowOverlap="1" wp14:anchorId="5E583BEB">
            <wp:simplePos x="0" y="0"/>
            <wp:positionH relativeFrom="column">
              <wp:posOffset>0</wp:posOffset>
            </wp:positionH>
            <wp:positionV relativeFrom="paragraph">
              <wp:posOffset>-1905</wp:posOffset>
            </wp:positionV>
            <wp:extent cx="2622826" cy="190500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2826" cy="1905000"/>
                    </a:xfrm>
                    <a:prstGeom prst="rect">
                      <a:avLst/>
                    </a:prstGeom>
                    <a:noFill/>
                  </pic:spPr>
                </pic:pic>
              </a:graphicData>
            </a:graphic>
          </wp:anchor>
        </w:drawing>
      </w:r>
    </w:p>
    <w:p w:rsidR="001F7724" w:rsidRDefault="001F7724" w:rsidP="00FB51F4"/>
    <w:p w:rsidR="001F7724" w:rsidRDefault="00E87AC0" w:rsidP="00E504E2">
      <w:r>
        <w:t>89% of</w:t>
      </w:r>
      <w:r w:rsidR="00BF1E4C">
        <w:t xml:space="preserve"> projects intend to ensure women</w:t>
      </w:r>
      <w:r w:rsidR="00FF673D">
        <w:t xml:space="preserve"> are involved in</w:t>
      </w:r>
      <w:r w:rsidR="00BF1E4C">
        <w:t xml:space="preserve"> at least one aspect of project management; engagement of other gender groups is </w:t>
      </w:r>
      <w:r>
        <w:t>only slightly lower</w:t>
      </w:r>
      <w:r w:rsidR="00BF1E4C">
        <w:t xml:space="preserve">.   </w:t>
      </w:r>
      <w:r>
        <w:t>20% of</w:t>
      </w:r>
      <w:r w:rsidR="00BF1E4C">
        <w:t xml:space="preserve"> projects indicate people of diverse gender/sexual orientation </w:t>
      </w:r>
      <w:r>
        <w:t>will be involved.</w:t>
      </w:r>
    </w:p>
    <w:p w:rsidR="001F7724" w:rsidRDefault="001F7724" w:rsidP="00E504E2"/>
    <w:p w:rsidR="001F7724" w:rsidRDefault="001F7724" w:rsidP="00E504E2"/>
    <w:p w:rsidR="00E87AC0" w:rsidRDefault="00E87AC0" w:rsidP="00E504E2"/>
    <w:p w:rsidR="00FB51F4" w:rsidRDefault="00A93EB6" w:rsidP="00A93EB6">
      <w:r>
        <w:rPr>
          <w:noProof/>
        </w:rPr>
        <w:drawing>
          <wp:anchor distT="0" distB="0" distL="114300" distR="114300" simplePos="0" relativeHeight="251699200" behindDoc="0" locked="0" layoutInCell="1" allowOverlap="1" wp14:anchorId="48E2FDC7">
            <wp:simplePos x="0" y="0"/>
            <wp:positionH relativeFrom="column">
              <wp:posOffset>3248025</wp:posOffset>
            </wp:positionH>
            <wp:positionV relativeFrom="paragraph">
              <wp:posOffset>53340</wp:posOffset>
            </wp:positionV>
            <wp:extent cx="2622550" cy="190436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2550" cy="1904365"/>
                    </a:xfrm>
                    <a:prstGeom prst="rect">
                      <a:avLst/>
                    </a:prstGeom>
                    <a:noFill/>
                  </pic:spPr>
                </pic:pic>
              </a:graphicData>
            </a:graphic>
            <wp14:sizeRelH relativeFrom="margin">
              <wp14:pctWidth>0</wp14:pctWidth>
            </wp14:sizeRelH>
            <wp14:sizeRelV relativeFrom="margin">
              <wp14:pctHeight>0</wp14:pctHeight>
            </wp14:sizeRelV>
          </wp:anchor>
        </w:drawing>
      </w:r>
    </w:p>
    <w:p w:rsidR="004A7DD5" w:rsidRDefault="001F7724" w:rsidP="00E87AC0">
      <w:r>
        <w:t xml:space="preserve">Participation by age groups </w:t>
      </w:r>
      <w:r w:rsidR="00E87AC0">
        <w:t xml:space="preserve">reflects the concerns seen in the context analysis, with adolescents most engaged.  Young adults are intended to be active, and over 64% of projects involving other age groups in project management, with the logical exception of young children.  </w:t>
      </w:r>
    </w:p>
    <w:p w:rsidR="00621E5A" w:rsidRDefault="00621E5A" w:rsidP="00E504E2"/>
    <w:p w:rsidR="005F7A8B" w:rsidRDefault="005F7A8B" w:rsidP="00E504E2">
      <w:pPr>
        <w:rPr>
          <w:noProof/>
        </w:rPr>
      </w:pPr>
    </w:p>
    <w:p w:rsidR="00007A76" w:rsidRDefault="00007A76" w:rsidP="00E504E2"/>
    <w:p w:rsidR="001F7724" w:rsidRDefault="001F7724" w:rsidP="00007A76">
      <w:pPr>
        <w:rPr>
          <w:u w:val="single"/>
        </w:rPr>
      </w:pPr>
    </w:p>
    <w:p w:rsidR="00C273FA" w:rsidRPr="00007A76" w:rsidRDefault="00A93EB6" w:rsidP="00A93EB6">
      <w:r>
        <w:rPr>
          <w:noProof/>
          <w:u w:val="single"/>
        </w:rPr>
        <w:lastRenderedPageBreak/>
        <w:drawing>
          <wp:anchor distT="0" distB="0" distL="114300" distR="114300" simplePos="0" relativeHeight="251700224" behindDoc="0" locked="0" layoutInCell="1" allowOverlap="1" wp14:anchorId="64670D42">
            <wp:simplePos x="0" y="0"/>
            <wp:positionH relativeFrom="column">
              <wp:posOffset>0</wp:posOffset>
            </wp:positionH>
            <wp:positionV relativeFrom="paragraph">
              <wp:posOffset>0</wp:posOffset>
            </wp:positionV>
            <wp:extent cx="2824784" cy="2051685"/>
            <wp:effectExtent l="0" t="0" r="0"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4784" cy="2051685"/>
                    </a:xfrm>
                    <a:prstGeom prst="rect">
                      <a:avLst/>
                    </a:prstGeom>
                    <a:noFill/>
                  </pic:spPr>
                </pic:pic>
              </a:graphicData>
            </a:graphic>
          </wp:anchor>
        </w:drawing>
      </w:r>
      <w:r w:rsidR="00C273FA" w:rsidRPr="00C273FA">
        <w:rPr>
          <w:u w:val="single"/>
        </w:rPr>
        <w:t xml:space="preserve">Reporting relative benefits </w:t>
      </w:r>
    </w:p>
    <w:p w:rsidR="00E504E2" w:rsidRDefault="00436E00" w:rsidP="002C6CA5">
      <w:r>
        <w:t>32</w:t>
      </w:r>
      <w:r w:rsidR="004F4A16">
        <w:t xml:space="preserve">% of projects say they will be able to provide disaggregated information on both the activities delivered, and the needs met.  </w:t>
      </w:r>
      <w:r>
        <w:t>36% of projects</w:t>
      </w:r>
      <w:r w:rsidR="004F4A16">
        <w:t xml:space="preserve"> plan to report on </w:t>
      </w:r>
      <w:r w:rsidR="002C6CA5">
        <w:t>needs</w:t>
      </w:r>
      <w:r>
        <w:t xml:space="preserve"> and 25% on </w:t>
      </w:r>
      <w:r w:rsidR="004F4A16">
        <w:t>activities delivered, for different gender and age groups.</w:t>
      </w:r>
      <w:r w:rsidR="00007A76">
        <w:t xml:space="preserve">   </w:t>
      </w:r>
      <w:r>
        <w:t>Three project</w:t>
      </w:r>
      <w:r w:rsidR="006F3FA9">
        <w:t>s</w:t>
      </w:r>
      <w:bookmarkStart w:id="0" w:name="_GoBack"/>
      <w:bookmarkEnd w:id="0"/>
      <w:r>
        <w:t xml:space="preserve"> </w:t>
      </w:r>
      <w:r w:rsidR="00CF7999">
        <w:t>report</w:t>
      </w:r>
      <w:r>
        <w:t xml:space="preserve"> no indic</w:t>
      </w:r>
      <w:r w:rsidR="00CF7999">
        <w:t>ators yet.</w:t>
      </w:r>
    </w:p>
    <w:p w:rsidR="002C6CA5" w:rsidRDefault="002C6CA5" w:rsidP="002C6CA5"/>
    <w:p w:rsidR="00BB18C1" w:rsidRDefault="00BB18C1" w:rsidP="00E504E2">
      <w:pPr>
        <w:rPr>
          <w:u w:val="single"/>
        </w:rPr>
      </w:pPr>
      <w:bookmarkStart w:id="1" w:name="_Hlk531246573"/>
    </w:p>
    <w:p w:rsidR="00CF7999" w:rsidRDefault="00CF7999" w:rsidP="00E504E2">
      <w:pPr>
        <w:rPr>
          <w:u w:val="single"/>
        </w:rPr>
      </w:pPr>
    </w:p>
    <w:p w:rsidR="007A21B2" w:rsidRPr="007A21B2" w:rsidRDefault="007A21B2" w:rsidP="00E504E2">
      <w:pPr>
        <w:rPr>
          <w:u w:val="single"/>
        </w:rPr>
      </w:pPr>
      <w:r>
        <w:rPr>
          <w:u w:val="single"/>
        </w:rPr>
        <w:t>Summary</w:t>
      </w:r>
    </w:p>
    <w:p w:rsidR="00C36622" w:rsidRDefault="00C36622" w:rsidP="000E4111">
      <w:r>
        <w:t xml:space="preserve">It will be important to ensure that HPC approved projects apply the GAM before beginning implementation. The GAM can be applied several times, as project holders decide to review and </w:t>
      </w:r>
      <w:r w:rsidR="00CF7999">
        <w:t>adjust</w:t>
      </w:r>
      <w:r>
        <w:t xml:space="preserve"> their programs.  </w:t>
      </w:r>
      <w:r w:rsidRPr="004E3377">
        <w:t xml:space="preserve">Users </w:t>
      </w:r>
      <w:r>
        <w:t xml:space="preserve">report </w:t>
      </w:r>
      <w:r w:rsidRPr="004E3377">
        <w:t xml:space="preserve">that the GAM has drawn their attention to gender- and age-related concerns that might otherwise have been missed.   </w:t>
      </w:r>
    </w:p>
    <w:p w:rsidR="007A21B2" w:rsidRDefault="007A21B2" w:rsidP="000E4111">
      <w:r>
        <w:t xml:space="preserve">A total of </w:t>
      </w:r>
      <w:r w:rsidR="00CF7999">
        <w:t>48</w:t>
      </w:r>
      <w:r>
        <w:t xml:space="preserve"> GAM forms were completed for </w:t>
      </w:r>
      <w:r w:rsidR="006C0F8B">
        <w:t>Nigeria</w:t>
      </w:r>
      <w:r w:rsidR="00BB18C1">
        <w:t xml:space="preserve">, including </w:t>
      </w:r>
      <w:r w:rsidR="00CF7999">
        <w:t>24</w:t>
      </w:r>
      <w:r w:rsidR="00BB18C1">
        <w:t xml:space="preserve"> for projects that were not accepted in the HPC.</w:t>
      </w:r>
      <w:r>
        <w:t xml:space="preserve">   There are </w:t>
      </w:r>
      <w:r w:rsidR="00CF7999">
        <w:t>183</w:t>
      </w:r>
      <w:r>
        <w:t xml:space="preserve"> accepted projects in the HPC; the IASC Gender with Age Marker was completed for </w:t>
      </w:r>
      <w:r w:rsidR="00CF7999">
        <w:t>44</w:t>
      </w:r>
      <w:r>
        <w:t xml:space="preserve"> (</w:t>
      </w:r>
      <w:r w:rsidR="00CF7999">
        <w:t>25</w:t>
      </w:r>
      <w:r>
        <w:t xml:space="preserve">%) of </w:t>
      </w:r>
      <w:r w:rsidR="00BB18C1">
        <w:t>these</w:t>
      </w:r>
      <w:r>
        <w:t xml:space="preserve">.   </w:t>
      </w:r>
      <w:r w:rsidR="00AE3E50">
        <w:t>14</w:t>
      </w:r>
      <w:r w:rsidR="000E4111">
        <w:t xml:space="preserve"> </w:t>
      </w:r>
      <w:r w:rsidR="00E2259A">
        <w:t>additional</w:t>
      </w:r>
      <w:r>
        <w:t xml:space="preserve"> accepted HPC projects cite a GAM </w:t>
      </w:r>
      <w:r w:rsidR="00E2259A">
        <w:t xml:space="preserve">reference </w:t>
      </w:r>
      <w:r w:rsidR="000E4111">
        <w:t xml:space="preserve">but it appears that </w:t>
      </w:r>
      <w:r w:rsidR="00E2259A">
        <w:t>these</w:t>
      </w:r>
      <w:r w:rsidR="000E4111">
        <w:t xml:space="preserve"> users failed to actually “submit” the GAM form</w:t>
      </w:r>
      <w:r>
        <w:t>.</w:t>
      </w:r>
    </w:p>
    <w:p w:rsidR="00AE3E50" w:rsidRDefault="00AE3E50" w:rsidP="008B1A0A">
      <w:r>
        <w:t>There seven “transcription errors” when copying GAM codes into the HPC.  These show that there may still be a misperception that a “targeted action” (T) is somehow better than a project that mainstreams gender (M).  Six projects changed their code from 4(M) to 4(T) when entering it in HPC tools; only one project ‘upgraded’ their code from 0 to 4(M).   The analysis in this report is based on the correct GAM scores in the GAM data base.</w:t>
      </w:r>
    </w:p>
    <w:bookmarkEnd w:id="1"/>
    <w:p w:rsidR="00354FF1" w:rsidRDefault="00354FF1" w:rsidP="00354FF1">
      <w:r>
        <w:t xml:space="preserve">It is </w:t>
      </w:r>
      <w:r w:rsidR="00C36622">
        <w:t>commendable</w:t>
      </w:r>
      <w:r>
        <w:t xml:space="preserve"> that the Gender with Age Marker was applied to </w:t>
      </w:r>
      <w:r w:rsidR="00AE3E50">
        <w:t>25% of</w:t>
      </w:r>
      <w:r w:rsidR="00C36622">
        <w:t xml:space="preserve"> </w:t>
      </w:r>
      <w:r>
        <w:t xml:space="preserve">projects in </w:t>
      </w:r>
      <w:r w:rsidR="006C0F8B">
        <w:t>Nigeria</w:t>
      </w:r>
      <w:r>
        <w:t xml:space="preserve">, given the lack of formal direction from Agencies and few trained GAM resource people involved in-country.  </w:t>
      </w:r>
      <w:r w:rsidR="00B212FB">
        <w:t xml:space="preserve"> </w:t>
      </w:r>
    </w:p>
    <w:p w:rsidR="007C6FD6" w:rsidRDefault="007C6FD6" w:rsidP="007C6FD6">
      <w:r w:rsidRPr="004E3377">
        <w:t xml:space="preserve">In addition to highlighting overall strong </w:t>
      </w:r>
      <w:r>
        <w:t xml:space="preserve">desire to address specific needs of different groups </w:t>
      </w:r>
      <w:r w:rsidR="00AE3E50">
        <w:t xml:space="preserve">– particularly adolescents </w:t>
      </w:r>
      <w:r>
        <w:t xml:space="preserve">in </w:t>
      </w:r>
      <w:r w:rsidR="006C0F8B">
        <w:t>Nigeria</w:t>
      </w:r>
      <w:r>
        <w:t xml:space="preserve">, </w:t>
      </w:r>
      <w:r w:rsidRPr="004E3377">
        <w:t xml:space="preserve">the GAM also identifies areas and agencies where programming can be more responsive to gender- and age-related exclusion.  </w:t>
      </w:r>
      <w:r>
        <w:t>There may be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7C6FD6" w:rsidRPr="004E3377" w:rsidRDefault="007C6FD6" w:rsidP="007C6FD6">
      <w:r w:rsidRPr="004E3377">
        <w:t xml:space="preserve">Use of the IASC Gender with Age Marker by humanitarian actors in </w:t>
      </w:r>
      <w:r w:rsidR="006C0F8B">
        <w:t>Nigeria</w:t>
      </w:r>
      <w:r w:rsidRPr="004E3377">
        <w:t xml:space="preserve"> shows a shift toward delivering aid at new and higher standards.  It is hoped that the support required for its ongoing use in project and program monitoring will be provided.</w:t>
      </w:r>
    </w:p>
    <w:p w:rsidR="004B0BB2" w:rsidRDefault="004B0BB2" w:rsidP="00C36622">
      <w:r>
        <w:t xml:space="preserve">It is intended that ALL projects accepted in the HPC will apply the IASC Gender with Age Marker prior to starting implementation.  </w:t>
      </w:r>
      <w:r w:rsidR="00C36622">
        <w:t xml:space="preserve">Follow-up reports will be provided as more </w:t>
      </w:r>
      <w:r w:rsidR="006C0F8B">
        <w:t>Nigeria</w:t>
      </w:r>
      <w:r w:rsidR="00C36622">
        <w:t xml:space="preserve"> actors complete their GAM forms.</w:t>
      </w:r>
    </w:p>
    <w:sectPr w:rsidR="004B0BB2" w:rsidSect="00B411A4">
      <w:footerReference w:type="default" r:id="rId1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99" w:rsidRDefault="00830F99" w:rsidP="00CA4B40">
      <w:pPr>
        <w:spacing w:after="0" w:line="240" w:lineRule="auto"/>
      </w:pPr>
      <w:r>
        <w:separator/>
      </w:r>
    </w:p>
  </w:endnote>
  <w:endnote w:type="continuationSeparator" w:id="0">
    <w:p w:rsidR="00830F99" w:rsidRDefault="00830F99"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99" w:rsidRDefault="00830F99" w:rsidP="00CA4B40">
      <w:pPr>
        <w:spacing w:after="0" w:line="240" w:lineRule="auto"/>
      </w:pPr>
      <w:r>
        <w:separator/>
      </w:r>
    </w:p>
  </w:footnote>
  <w:footnote w:type="continuationSeparator" w:id="0">
    <w:p w:rsidR="00830F99" w:rsidRDefault="00830F99"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5C8B"/>
    <w:rsid w:val="00007A76"/>
    <w:rsid w:val="000429B7"/>
    <w:rsid w:val="000651FB"/>
    <w:rsid w:val="000A5D31"/>
    <w:rsid w:val="000B4340"/>
    <w:rsid w:val="000B6ABE"/>
    <w:rsid w:val="000C2F51"/>
    <w:rsid w:val="000C37C9"/>
    <w:rsid w:val="000D7966"/>
    <w:rsid w:val="000E4111"/>
    <w:rsid w:val="000E4316"/>
    <w:rsid w:val="001264B9"/>
    <w:rsid w:val="00137C58"/>
    <w:rsid w:val="00150905"/>
    <w:rsid w:val="00190304"/>
    <w:rsid w:val="001E6121"/>
    <w:rsid w:val="001F515B"/>
    <w:rsid w:val="001F7724"/>
    <w:rsid w:val="002135DD"/>
    <w:rsid w:val="002303AC"/>
    <w:rsid w:val="00246F23"/>
    <w:rsid w:val="00252274"/>
    <w:rsid w:val="002531A9"/>
    <w:rsid w:val="00256979"/>
    <w:rsid w:val="00264934"/>
    <w:rsid w:val="00274107"/>
    <w:rsid w:val="002A0DED"/>
    <w:rsid w:val="002A3387"/>
    <w:rsid w:val="002A7730"/>
    <w:rsid w:val="002C5E53"/>
    <w:rsid w:val="002C6CA5"/>
    <w:rsid w:val="002D4371"/>
    <w:rsid w:val="00303AC1"/>
    <w:rsid w:val="003221EA"/>
    <w:rsid w:val="00354FF1"/>
    <w:rsid w:val="00364C37"/>
    <w:rsid w:val="003676D3"/>
    <w:rsid w:val="00370EBA"/>
    <w:rsid w:val="003B69FE"/>
    <w:rsid w:val="003F6B87"/>
    <w:rsid w:val="00434228"/>
    <w:rsid w:val="00436E00"/>
    <w:rsid w:val="004708F5"/>
    <w:rsid w:val="0049542D"/>
    <w:rsid w:val="004A33C6"/>
    <w:rsid w:val="004A7DD5"/>
    <w:rsid w:val="004B0BB2"/>
    <w:rsid w:val="004C5CA3"/>
    <w:rsid w:val="004E75CA"/>
    <w:rsid w:val="004F2B41"/>
    <w:rsid w:val="004F4A16"/>
    <w:rsid w:val="004F71CE"/>
    <w:rsid w:val="0053077D"/>
    <w:rsid w:val="005327C5"/>
    <w:rsid w:val="00541D06"/>
    <w:rsid w:val="00544E33"/>
    <w:rsid w:val="00557D42"/>
    <w:rsid w:val="00565FBE"/>
    <w:rsid w:val="005A4DC5"/>
    <w:rsid w:val="005F7A8B"/>
    <w:rsid w:val="00615AB7"/>
    <w:rsid w:val="00621697"/>
    <w:rsid w:val="00621E5A"/>
    <w:rsid w:val="006253B1"/>
    <w:rsid w:val="00632BEE"/>
    <w:rsid w:val="0068281D"/>
    <w:rsid w:val="006837FD"/>
    <w:rsid w:val="00684BEE"/>
    <w:rsid w:val="00693133"/>
    <w:rsid w:val="006968CA"/>
    <w:rsid w:val="006B4F04"/>
    <w:rsid w:val="006B63F8"/>
    <w:rsid w:val="006C0F8B"/>
    <w:rsid w:val="006C46DE"/>
    <w:rsid w:val="006D3D6B"/>
    <w:rsid w:val="006F3FA9"/>
    <w:rsid w:val="0072207A"/>
    <w:rsid w:val="00765106"/>
    <w:rsid w:val="007856C1"/>
    <w:rsid w:val="007A21B2"/>
    <w:rsid w:val="007C6FD6"/>
    <w:rsid w:val="007E6228"/>
    <w:rsid w:val="00826221"/>
    <w:rsid w:val="00830F99"/>
    <w:rsid w:val="00864B11"/>
    <w:rsid w:val="008833D1"/>
    <w:rsid w:val="008B1242"/>
    <w:rsid w:val="008B1A0A"/>
    <w:rsid w:val="008C4576"/>
    <w:rsid w:val="008D1147"/>
    <w:rsid w:val="008E50A5"/>
    <w:rsid w:val="008F46FA"/>
    <w:rsid w:val="00900615"/>
    <w:rsid w:val="00902784"/>
    <w:rsid w:val="00914814"/>
    <w:rsid w:val="00914FD8"/>
    <w:rsid w:val="009462AC"/>
    <w:rsid w:val="0097325C"/>
    <w:rsid w:val="00981347"/>
    <w:rsid w:val="00982D19"/>
    <w:rsid w:val="00984367"/>
    <w:rsid w:val="009A7B75"/>
    <w:rsid w:val="009B4403"/>
    <w:rsid w:val="009C0FCC"/>
    <w:rsid w:val="009C707C"/>
    <w:rsid w:val="009E679D"/>
    <w:rsid w:val="00A04911"/>
    <w:rsid w:val="00A11C7B"/>
    <w:rsid w:val="00A62ACE"/>
    <w:rsid w:val="00A664AB"/>
    <w:rsid w:val="00A7003B"/>
    <w:rsid w:val="00A76E94"/>
    <w:rsid w:val="00A86BEB"/>
    <w:rsid w:val="00A93EB6"/>
    <w:rsid w:val="00AA219E"/>
    <w:rsid w:val="00AD6122"/>
    <w:rsid w:val="00AE3E50"/>
    <w:rsid w:val="00AF36FE"/>
    <w:rsid w:val="00B05BAA"/>
    <w:rsid w:val="00B212FB"/>
    <w:rsid w:val="00B4030F"/>
    <w:rsid w:val="00B411A4"/>
    <w:rsid w:val="00B85229"/>
    <w:rsid w:val="00BB18C1"/>
    <w:rsid w:val="00BB1ED8"/>
    <w:rsid w:val="00BB331D"/>
    <w:rsid w:val="00BC714C"/>
    <w:rsid w:val="00BD2321"/>
    <w:rsid w:val="00BE0EDA"/>
    <w:rsid w:val="00BF1E4C"/>
    <w:rsid w:val="00C13AD1"/>
    <w:rsid w:val="00C1677C"/>
    <w:rsid w:val="00C273FA"/>
    <w:rsid w:val="00C36622"/>
    <w:rsid w:val="00C53FBE"/>
    <w:rsid w:val="00C81E47"/>
    <w:rsid w:val="00C930BD"/>
    <w:rsid w:val="00C9353C"/>
    <w:rsid w:val="00CA464D"/>
    <w:rsid w:val="00CA4B40"/>
    <w:rsid w:val="00CD10FD"/>
    <w:rsid w:val="00CD29B3"/>
    <w:rsid w:val="00CF7999"/>
    <w:rsid w:val="00D06B91"/>
    <w:rsid w:val="00D26FEE"/>
    <w:rsid w:val="00D4397E"/>
    <w:rsid w:val="00D5481A"/>
    <w:rsid w:val="00D76AEE"/>
    <w:rsid w:val="00D77612"/>
    <w:rsid w:val="00D837D5"/>
    <w:rsid w:val="00D866A1"/>
    <w:rsid w:val="00DE5A94"/>
    <w:rsid w:val="00E11695"/>
    <w:rsid w:val="00E2259A"/>
    <w:rsid w:val="00E3360B"/>
    <w:rsid w:val="00E504E2"/>
    <w:rsid w:val="00E51055"/>
    <w:rsid w:val="00E87AC0"/>
    <w:rsid w:val="00E914A3"/>
    <w:rsid w:val="00EA1B9A"/>
    <w:rsid w:val="00EA49F4"/>
    <w:rsid w:val="00EB288F"/>
    <w:rsid w:val="00EC172C"/>
    <w:rsid w:val="00EE0F64"/>
    <w:rsid w:val="00EF4753"/>
    <w:rsid w:val="00F03F87"/>
    <w:rsid w:val="00F40A01"/>
    <w:rsid w:val="00F414C9"/>
    <w:rsid w:val="00F4750D"/>
    <w:rsid w:val="00F91A45"/>
    <w:rsid w:val="00FB1A1F"/>
    <w:rsid w:val="00FB2B59"/>
    <w:rsid w:val="00FB51F4"/>
    <w:rsid w:val="00FD3E3A"/>
    <w:rsid w:val="00FD4269"/>
    <w:rsid w:val="00FF3E56"/>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A069"/>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FDE9-32E8-4AAE-89E6-DBE39F87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28</cp:revision>
  <dcterms:created xsi:type="dcterms:W3CDTF">2019-03-15T11:54:00Z</dcterms:created>
  <dcterms:modified xsi:type="dcterms:W3CDTF">2019-03-16T13:42:00Z</dcterms:modified>
</cp:coreProperties>
</file>