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644329">
        <w:rPr>
          <w:rFonts w:ascii="Arial-BoldMT" w:hAnsi="Arial-BoldMT" w:cs="Arial-BoldMT"/>
          <w:b/>
          <w:bCs/>
          <w:color w:val="609340"/>
          <w:sz w:val="64"/>
          <w:szCs w:val="64"/>
        </w:rPr>
        <w:t>occupied Palestinian Territories</w:t>
      </w:r>
    </w:p>
    <w:p w:rsidR="003B69FE" w:rsidRDefault="003B69FE" w:rsidP="003B69FE"/>
    <w:p w:rsidR="003B69FE" w:rsidRDefault="003B69FE" w:rsidP="003B69FE"/>
    <w:p w:rsidR="00E504E2" w:rsidRDefault="00E504E2">
      <w:r>
        <w:br w:type="page"/>
      </w:r>
    </w:p>
    <w:p w:rsidR="00080FE9" w:rsidRPr="00080FE9" w:rsidRDefault="00080FE9" w:rsidP="009C707C">
      <w:pPr>
        <w:rPr>
          <w:b/>
          <w:bCs/>
          <w:sz w:val="72"/>
          <w:szCs w:val="72"/>
        </w:rPr>
      </w:pPr>
      <w:r w:rsidRPr="00080FE9">
        <w:rPr>
          <w:b/>
          <w:bCs/>
          <w:sz w:val="72"/>
          <w:szCs w:val="72"/>
        </w:rPr>
        <w:lastRenderedPageBreak/>
        <w:t>METHODOLOGY</w:t>
      </w:r>
    </w:p>
    <w:p w:rsidR="00080FE9" w:rsidRDefault="00080FE9" w:rsidP="009C707C"/>
    <w:p w:rsidR="00C02D26" w:rsidRDefault="00C02D26" w:rsidP="009C707C">
      <w:r>
        <w:t xml:space="preserve">Steps </w:t>
      </w:r>
      <w:r w:rsidR="00CB071B">
        <w:t xml:space="preserve">taken </w:t>
      </w:r>
      <w:r w:rsidR="009B26A7">
        <w:t>to compare and analyze</w:t>
      </w:r>
      <w:r>
        <w:t xml:space="preserve"> HPC and GAM databases</w:t>
      </w:r>
      <w:r w:rsidR="009B26A7">
        <w:t>.</w:t>
      </w:r>
    </w:p>
    <w:p w:rsidR="00C02D26" w:rsidRDefault="00C02D26" w:rsidP="009C707C">
      <w:pPr>
        <w:rPr>
          <w:b/>
          <w:bCs/>
        </w:rPr>
      </w:pPr>
    </w:p>
    <w:p w:rsidR="00DC3E8C" w:rsidRDefault="00DC3E8C" w:rsidP="009C707C">
      <w:r w:rsidRPr="00CF39F6">
        <w:rPr>
          <w:b/>
          <w:bCs/>
        </w:rPr>
        <w:t>Step</w:t>
      </w:r>
      <w:r w:rsidR="00E23444" w:rsidRPr="00CF39F6">
        <w:rPr>
          <w:b/>
          <w:bCs/>
        </w:rPr>
        <w:t xml:space="preserve"> 1</w:t>
      </w:r>
      <w:r w:rsidRPr="00CF39F6">
        <w:rPr>
          <w:b/>
          <w:bCs/>
        </w:rPr>
        <w:t>:</w:t>
      </w:r>
      <w:r>
        <w:t xml:space="preserve">  Sort </w:t>
      </w:r>
      <w:r w:rsidR="00080FE9">
        <w:t xml:space="preserve">the HPC data by </w:t>
      </w:r>
      <w:r w:rsidR="00C56F4B">
        <w:t>status “</w:t>
      </w:r>
      <w:r>
        <w:t>accepted</w:t>
      </w:r>
      <w:r w:rsidR="00C56F4B">
        <w:t>”</w:t>
      </w:r>
      <w:r w:rsidR="00080FE9">
        <w:t xml:space="preserve">.  There are </w:t>
      </w:r>
      <w:r w:rsidR="0059223F">
        <w:t>203</w:t>
      </w:r>
      <w:r w:rsidR="00182E9D">
        <w:t xml:space="preserve"> </w:t>
      </w:r>
      <w:r w:rsidR="00CB071B">
        <w:t xml:space="preserve">accepted projects </w:t>
      </w:r>
      <w:r w:rsidR="00182E9D">
        <w:t xml:space="preserve">for </w:t>
      </w:r>
      <w:proofErr w:type="spellStart"/>
      <w:r w:rsidR="00E03C49">
        <w:t>OPt</w:t>
      </w:r>
      <w:r w:rsidR="00080FE9">
        <w:t>.</w:t>
      </w:r>
      <w:proofErr w:type="spellEnd"/>
    </w:p>
    <w:p w:rsidR="00DC3E8C" w:rsidRDefault="00DC3E8C" w:rsidP="00182E9D">
      <w:r>
        <w:t xml:space="preserve">Pull the correct GAM Code from GAM </w:t>
      </w:r>
      <w:r w:rsidR="00080FE9">
        <w:t>database</w:t>
      </w:r>
      <w:r>
        <w:t xml:space="preserve"> into </w:t>
      </w:r>
      <w:r w:rsidR="00080FE9">
        <w:t xml:space="preserve">the </w:t>
      </w:r>
      <w:r>
        <w:t>HPC</w:t>
      </w:r>
      <w:r w:rsidR="00182E9D">
        <w:t xml:space="preserve"> worksheet</w:t>
      </w:r>
      <w:r w:rsidR="00DF198A">
        <w:t>, using</w:t>
      </w:r>
      <w:r w:rsidR="00F334CA">
        <w:t xml:space="preserve"> VLOOKUP</w:t>
      </w:r>
      <w:r w:rsidR="00DF198A">
        <w:t xml:space="preserve"> </w:t>
      </w:r>
      <w:r w:rsidR="00F334CA">
        <w:t xml:space="preserve">on </w:t>
      </w:r>
      <w:r w:rsidR="00DF198A">
        <w:t>the GAM reference number</w:t>
      </w:r>
      <w:r w:rsidR="00080FE9">
        <w:t>.</w:t>
      </w:r>
      <w:r w:rsidR="00182E9D">
        <w:t xml:space="preserve"> </w:t>
      </w:r>
      <w:r>
        <w:t xml:space="preserve">This </w:t>
      </w:r>
      <w:r w:rsidR="00182E9D">
        <w:t>show</w:t>
      </w:r>
      <w:r>
        <w:t xml:space="preserve">s projects </w:t>
      </w:r>
      <w:r w:rsidR="00E23444">
        <w:t xml:space="preserve">with valid GAM reference number </w:t>
      </w:r>
      <w:r>
        <w:t xml:space="preserve">occurring in </w:t>
      </w:r>
      <w:r w:rsidR="00E23444">
        <w:t>the HPC.</w:t>
      </w:r>
      <w:r w:rsidR="00DF198A">
        <w:t xml:space="preserve">  (HPC Accepted Project column H)</w:t>
      </w:r>
    </w:p>
    <w:p w:rsidR="00DC3E8C" w:rsidRDefault="00DC3E8C" w:rsidP="009C707C">
      <w:r>
        <w:t xml:space="preserve">There are </w:t>
      </w:r>
      <w:r w:rsidRPr="0059223F">
        <w:rPr>
          <w:b/>
          <w:bCs/>
        </w:rPr>
        <w:t>16</w:t>
      </w:r>
      <w:r w:rsidR="0059223F" w:rsidRPr="0059223F">
        <w:rPr>
          <w:b/>
          <w:bCs/>
        </w:rPr>
        <w:t>2</w:t>
      </w:r>
      <w:r>
        <w:t xml:space="preserve"> </w:t>
      </w:r>
      <w:r w:rsidR="00080FE9">
        <w:t xml:space="preserve">projects in the HPC a </w:t>
      </w:r>
      <w:r w:rsidR="004573CB">
        <w:t>with valid</w:t>
      </w:r>
      <w:r>
        <w:t xml:space="preserve"> GAM</w:t>
      </w:r>
      <w:r w:rsidR="004573CB">
        <w:t xml:space="preserve"> reference</w:t>
      </w:r>
      <w:r w:rsidR="00080FE9">
        <w:t xml:space="preserve"> number.  An </w:t>
      </w:r>
      <w:r>
        <w:t xml:space="preserve">additional </w:t>
      </w:r>
      <w:r w:rsidR="0059223F">
        <w:t>38</w:t>
      </w:r>
      <w:r>
        <w:t xml:space="preserve"> appear to have a GAM Reference number but do not appear in the </w:t>
      </w:r>
      <w:r w:rsidR="00080FE9">
        <w:t xml:space="preserve">GAM </w:t>
      </w:r>
      <w:r>
        <w:t>database (</w:t>
      </w:r>
      <w:r w:rsidR="00182E9D">
        <w:t>probably failed</w:t>
      </w:r>
      <w:r>
        <w:t xml:space="preserve"> to press submit</w:t>
      </w:r>
      <w:r w:rsidR="00182E9D">
        <w:t>.</w:t>
      </w:r>
      <w:r>
        <w:t>)</w:t>
      </w:r>
    </w:p>
    <w:p w:rsidR="00DC3E8C" w:rsidRDefault="00E23444" w:rsidP="009C707C">
      <w:r w:rsidRPr="00CF39F6">
        <w:rPr>
          <w:b/>
          <w:bCs/>
        </w:rPr>
        <w:t>Step 2:</w:t>
      </w:r>
      <w:r>
        <w:t xml:space="preserve">  </w:t>
      </w:r>
      <w:proofErr w:type="spellStart"/>
      <w:r w:rsidR="00E03C49">
        <w:t>OPt</w:t>
      </w:r>
      <w:proofErr w:type="spellEnd"/>
      <w:r w:rsidR="00C11AD1">
        <w:t xml:space="preserve"> </w:t>
      </w:r>
      <w:proofErr w:type="spellStart"/>
      <w:r w:rsidR="00C11AD1">
        <w:t>GAMTool</w:t>
      </w:r>
      <w:proofErr w:type="spellEnd"/>
      <w:r w:rsidR="00C11AD1">
        <w:t xml:space="preserve"> Datafile: </w:t>
      </w:r>
      <w:r>
        <w:t xml:space="preserve">There are </w:t>
      </w:r>
      <w:r w:rsidR="0059223F">
        <w:t>302</w:t>
      </w:r>
      <w:r>
        <w:t xml:space="preserve"> GAM forms in the GAM database for </w:t>
      </w:r>
      <w:proofErr w:type="spellStart"/>
      <w:r w:rsidR="00E03C49">
        <w:t>OPt</w:t>
      </w:r>
      <w:r>
        <w:t>.</w:t>
      </w:r>
      <w:proofErr w:type="spellEnd"/>
      <w:r w:rsidR="00C11AD1">
        <w:t xml:space="preserve">  </w:t>
      </w:r>
    </w:p>
    <w:p w:rsidR="00E23444" w:rsidRDefault="00E23444" w:rsidP="00E23444">
      <w:r>
        <w:t xml:space="preserve">Pull the </w:t>
      </w:r>
      <w:r w:rsidR="00182E9D">
        <w:t xml:space="preserve">HPC </w:t>
      </w:r>
      <w:r>
        <w:t xml:space="preserve">project </w:t>
      </w:r>
      <w:r w:rsidR="00182E9D">
        <w:t xml:space="preserve">ID </w:t>
      </w:r>
      <w:r>
        <w:t xml:space="preserve">number </w:t>
      </w:r>
      <w:r w:rsidR="00182E9D">
        <w:t>into the</w:t>
      </w:r>
      <w:r>
        <w:t xml:space="preserve"> GAM database, </w:t>
      </w:r>
      <w:r w:rsidR="00F334CA">
        <w:t>using VLOOKUP on</w:t>
      </w:r>
      <w:r>
        <w:t xml:space="preserve"> the GAM Reference Numbers.</w:t>
      </w:r>
      <w:r w:rsidR="00C11AD1">
        <w:t xml:space="preserve"> (Column B)</w:t>
      </w:r>
    </w:p>
    <w:p w:rsidR="00E23444" w:rsidRDefault="00E23444" w:rsidP="009C707C">
      <w:r>
        <w:t xml:space="preserve">There are </w:t>
      </w:r>
      <w:r w:rsidR="0059223F">
        <w:rPr>
          <w:b/>
          <w:bCs/>
        </w:rPr>
        <w:t>162</w:t>
      </w:r>
      <w:r w:rsidRPr="00AA58BB">
        <w:rPr>
          <w:b/>
          <w:bCs/>
        </w:rPr>
        <w:t xml:space="preserve"> GAMs with a valid HPC Project ID</w:t>
      </w:r>
      <w:r>
        <w:t xml:space="preserve"> in the GAM database.  </w:t>
      </w:r>
    </w:p>
    <w:p w:rsidR="00DC3E8C" w:rsidRDefault="00E23444" w:rsidP="009C707C">
      <w:r>
        <w:t xml:space="preserve">An additional </w:t>
      </w:r>
      <w:r w:rsidR="0059223F">
        <w:t>140</w:t>
      </w:r>
      <w:r>
        <w:t xml:space="preserve"> GAMs were completed, but these are for projects </w:t>
      </w:r>
      <w:r w:rsidR="00CB071B">
        <w:t xml:space="preserve">not </w:t>
      </w:r>
      <w:r>
        <w:t>found in the HPC.</w:t>
      </w:r>
    </w:p>
    <w:p w:rsidR="00080FE9" w:rsidRDefault="00080FE9" w:rsidP="009C707C">
      <w:r w:rsidRPr="00CF39F6">
        <w:rPr>
          <w:b/>
          <w:bCs/>
        </w:rPr>
        <w:t>Step 3</w:t>
      </w:r>
      <w:r w:rsidR="00CF39F6">
        <w:t xml:space="preserve">: </w:t>
      </w:r>
      <w:r>
        <w:t>Double check</w:t>
      </w:r>
      <w:r w:rsidR="00CF39F6">
        <w:t xml:space="preserve"> -</w:t>
      </w:r>
      <w:r>
        <w:t xml:space="preserve"> Pull the HPC line number for each project into GAM</w:t>
      </w:r>
      <w:r w:rsidR="00CF39F6">
        <w:t xml:space="preserve"> data</w:t>
      </w:r>
      <w:r>
        <w:t xml:space="preserve">, by matching the HPC Project ID from GAM database, with the line number where it occurs in the HPC.  </w:t>
      </w:r>
      <w:r w:rsidR="00C11AD1">
        <w:t>(</w:t>
      </w:r>
      <w:r w:rsidR="00CF39F6">
        <w:t>=</w:t>
      </w:r>
      <w:r w:rsidR="00FF26B1">
        <w:t xml:space="preserve">MATCH, </w:t>
      </w:r>
      <w:r w:rsidR="00C11AD1">
        <w:t>Column C</w:t>
      </w:r>
      <w:r w:rsidR="00CF39F6">
        <w:t>.</w:t>
      </w:r>
      <w:r w:rsidR="00C11AD1">
        <w:t xml:space="preserve">) </w:t>
      </w:r>
      <w:r>
        <w:t xml:space="preserve"> This confirms that projects with duplicate GAM forms are not found in the GAM database.</w:t>
      </w:r>
    </w:p>
    <w:p w:rsidR="00E23444" w:rsidRDefault="00E23444" w:rsidP="009C707C">
      <w:bookmarkStart w:id="0" w:name="_GoBack"/>
      <w:bookmarkEnd w:id="0"/>
    </w:p>
    <w:p w:rsidR="00E23444" w:rsidRDefault="00E23444" w:rsidP="009C707C"/>
    <w:p w:rsidR="00080FE9" w:rsidRDefault="00080FE9">
      <w:r>
        <w:br w:type="page"/>
      </w:r>
    </w:p>
    <w:p w:rsidR="00080FE9" w:rsidRDefault="00080FE9" w:rsidP="00080FE9">
      <w:pPr>
        <w:rPr>
          <w:rFonts w:ascii="Calibri-Bold" w:hAnsi="Calibri-Bold" w:cs="Calibri-Bold"/>
          <w:b/>
          <w:bCs/>
          <w:sz w:val="72"/>
          <w:szCs w:val="72"/>
        </w:rPr>
      </w:pPr>
      <w:r>
        <w:rPr>
          <w:rFonts w:ascii="Calibri-Bold" w:hAnsi="Calibri-Bold" w:cs="Calibri-Bold"/>
          <w:b/>
          <w:bCs/>
          <w:sz w:val="72"/>
          <w:szCs w:val="72"/>
        </w:rPr>
        <w:lastRenderedPageBreak/>
        <w:t>Overview</w:t>
      </w:r>
    </w:p>
    <w:p w:rsidR="00507BF5" w:rsidRDefault="00507BF5" w:rsidP="009C707C"/>
    <w:p w:rsidR="00E03C49" w:rsidRDefault="00E03C49" w:rsidP="009C707C"/>
    <w:p w:rsidR="00241ABA" w:rsidRDefault="00241ABA" w:rsidP="00241ABA">
      <w:r>
        <w:t xml:space="preserve">162/203 (80%) </w:t>
      </w:r>
      <w:r w:rsidR="00A664AB">
        <w:t xml:space="preserve">projects </w:t>
      </w:r>
      <w:r w:rsidR="009A7B75">
        <w:t>a</w:t>
      </w:r>
      <w:r>
        <w:t>ccept</w:t>
      </w:r>
      <w:r w:rsidR="009A7B75">
        <w:t xml:space="preserve">ed in the 2019 HPC </w:t>
      </w:r>
      <w:r>
        <w:t xml:space="preserve">for the Occupied Palestinian Territories </w:t>
      </w:r>
      <w:r w:rsidR="000E4316">
        <w:t xml:space="preserve">have </w:t>
      </w:r>
      <w:r w:rsidR="009A7B75">
        <w:t xml:space="preserve">completed </w:t>
      </w:r>
      <w:r w:rsidR="00FE6C48">
        <w:t xml:space="preserve">the IASC </w:t>
      </w:r>
      <w:r w:rsidR="009A7B75">
        <w:t>Gender with Age Marker</w:t>
      </w:r>
      <w:r w:rsidR="009C707C">
        <w:t>.</w:t>
      </w:r>
      <w:r w:rsidR="00A664AB">
        <w:t xml:space="preserve">   </w:t>
      </w:r>
      <w:r>
        <w:t>An</w:t>
      </w:r>
      <w:r w:rsidR="000C2F51" w:rsidRPr="007A21B2">
        <w:t xml:space="preserve"> additional </w:t>
      </w:r>
      <w:r>
        <w:t xml:space="preserve">38 </w:t>
      </w:r>
      <w:r w:rsidR="000C2F51" w:rsidRPr="007A21B2">
        <w:t>HPC accepted projects appear to have a valid GAM Reference number,</w:t>
      </w:r>
      <w:r w:rsidR="000C2F51" w:rsidRPr="007A21B2">
        <w:rPr>
          <w:u w:val="single"/>
        </w:rPr>
        <w:t xml:space="preserve"> but </w:t>
      </w:r>
      <w:r w:rsidR="000C2F51">
        <w:rPr>
          <w:u w:val="single"/>
        </w:rPr>
        <w:t xml:space="preserve">users </w:t>
      </w:r>
      <w:r w:rsidR="000C2F51" w:rsidRPr="007A21B2">
        <w:rPr>
          <w:u w:val="single"/>
        </w:rPr>
        <w:t>likely failed to press “submit” on completion, as the</w:t>
      </w:r>
      <w:r w:rsidR="000C2F51">
        <w:rPr>
          <w:u w:val="single"/>
        </w:rPr>
        <w:t>se</w:t>
      </w:r>
      <w:r w:rsidR="000C2F51" w:rsidRPr="007A21B2">
        <w:rPr>
          <w:u w:val="single"/>
        </w:rPr>
        <w:t xml:space="preserve"> forms are not found in the GAM database.</w:t>
      </w:r>
      <w:r w:rsidR="000C2F51" w:rsidRPr="003F27BB">
        <w:t xml:space="preserve">  </w:t>
      </w:r>
      <w:r>
        <w:t xml:space="preserve"> Three projects clearly did not apply the GAM.</w:t>
      </w:r>
    </w:p>
    <w:p w:rsidR="009C0BE6" w:rsidRDefault="009C0BE6" w:rsidP="00241ABA">
      <w:r>
        <w:t>There are 302 project records for oPt in the GAM database</w:t>
      </w:r>
      <w:r w:rsidR="00456B3A">
        <w:t xml:space="preserve">, 162 </w:t>
      </w:r>
      <w:r>
        <w:t xml:space="preserve">of these </w:t>
      </w:r>
      <w:r w:rsidR="00456B3A">
        <w:t>for HPC</w:t>
      </w:r>
      <w:r>
        <w:t xml:space="preserve"> accept</w:t>
      </w:r>
      <w:r w:rsidR="00EC5766">
        <w:t>ed</w:t>
      </w:r>
      <w:r w:rsidR="00456B3A">
        <w:t xml:space="preserve"> projects.</w:t>
      </w:r>
    </w:p>
    <w:p w:rsidR="00DC17AE" w:rsidRDefault="00DC17AE" w:rsidP="00DC17AE">
      <w:r>
        <w:t>T</w:t>
      </w:r>
      <w:r w:rsidR="000E4316">
        <w:t xml:space="preserve">he GAM completion rate for </w:t>
      </w:r>
      <w:proofErr w:type="spellStart"/>
      <w:r w:rsidR="00E03C49">
        <w:t>OPt</w:t>
      </w:r>
      <w:proofErr w:type="spellEnd"/>
      <w:r w:rsidR="000E4316">
        <w:t xml:space="preserve"> </w:t>
      </w:r>
      <w:r>
        <w:t>is the highest of any country so far</w:t>
      </w:r>
      <w:r w:rsidR="000E4316" w:rsidRPr="00252274">
        <w:t>.    Th</w:t>
      </w:r>
      <w:r>
        <w:t xml:space="preserve">is is particularly commendable given the lack of trained GAM resource people or gender advisors available in country.  Success is to the credit of </w:t>
      </w:r>
      <w:r w:rsidR="0061690A">
        <w:t>individual OCHA staff</w:t>
      </w:r>
      <w:r>
        <w:t xml:space="preserve"> who made a significant effort to engage humanitarian partners in using the GAM. </w:t>
      </w:r>
    </w:p>
    <w:p w:rsidR="005327C5" w:rsidRDefault="005327C5" w:rsidP="00DC17AE">
      <w:r>
        <w:t>Sample GAM Completion Rates (</w:t>
      </w:r>
      <w:r w:rsidR="00DC17AE">
        <w:t>March</w:t>
      </w:r>
      <w:r w:rsidR="008F46FA">
        <w:t xml:space="preserve">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6C46DE" w:rsidP="00007A76">
            <w:pPr>
              <w:jc w:val="center"/>
              <w:rPr>
                <w:rFonts w:ascii="Calibri" w:eastAsia="Times New Roman" w:hAnsi="Calibri" w:cs="Calibri"/>
                <w:color w:val="000000"/>
              </w:rPr>
            </w:pPr>
            <w:r>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FD4269" w:rsidRDefault="00E03C49" w:rsidP="00007A76">
            <w:pPr>
              <w:jc w:val="center"/>
              <w:rPr>
                <w:rFonts w:ascii="Calibri" w:eastAsia="Times New Roman" w:hAnsi="Calibri" w:cs="Calibri"/>
                <w:b/>
                <w:bCs/>
                <w:color w:val="000000"/>
              </w:rPr>
            </w:pPr>
            <w:proofErr w:type="spellStart"/>
            <w:r>
              <w:rPr>
                <w:rFonts w:ascii="Calibri" w:eastAsia="Times New Roman" w:hAnsi="Calibri" w:cs="Calibri"/>
                <w:b/>
                <w:bCs/>
                <w:color w:val="000000"/>
              </w:rPr>
              <w:t>OPt</w:t>
            </w:r>
            <w:proofErr w:type="spellEnd"/>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396</w:t>
            </w:r>
          </w:p>
        </w:tc>
        <w:tc>
          <w:tcPr>
            <w:tcW w:w="1114"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FD4269" w:rsidRDefault="00241ABA" w:rsidP="005327C5">
            <w:pPr>
              <w:jc w:val="center"/>
              <w:rPr>
                <w:rFonts w:ascii="Calibri" w:eastAsia="Times New Roman" w:hAnsi="Calibri" w:cs="Calibri"/>
                <w:b/>
                <w:bCs/>
                <w:color w:val="000000"/>
              </w:rPr>
            </w:pPr>
            <w:r>
              <w:rPr>
                <w:rFonts w:ascii="Calibri" w:eastAsia="Times New Roman" w:hAnsi="Calibri" w:cs="Calibri"/>
                <w:b/>
                <w:bCs/>
                <w:color w:val="000000"/>
              </w:rPr>
              <w:t>203</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75</w:t>
            </w:r>
            <w:r w:rsidR="005327C5" w:rsidRPr="005327C5">
              <w:rPr>
                <w:rFonts w:ascii="Calibri" w:eastAsia="Times New Roman" w:hAnsi="Calibri" w:cs="Calibri"/>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FD4269" w:rsidRDefault="00241ABA" w:rsidP="005327C5">
            <w:pPr>
              <w:jc w:val="center"/>
              <w:rPr>
                <w:rFonts w:ascii="Calibri" w:eastAsia="Times New Roman" w:hAnsi="Calibri" w:cs="Calibri"/>
                <w:b/>
                <w:bCs/>
                <w:color w:val="000000"/>
              </w:rPr>
            </w:pPr>
            <w:r>
              <w:rPr>
                <w:rFonts w:ascii="Calibri" w:eastAsia="Times New Roman" w:hAnsi="Calibri" w:cs="Calibri"/>
                <w:b/>
                <w:bCs/>
                <w:color w:val="000000"/>
              </w:rPr>
              <w:t>80%</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68281D" w:rsidRDefault="0068281D" w:rsidP="003B69FE">
      <w:r>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xml:space="preserve"> of discussing and answering the GAM questions about these programming actions that creates better projects </w:t>
      </w:r>
      <w:r w:rsidR="00E74205">
        <w:rPr>
          <w:rFonts w:cs="Helvetica"/>
        </w:rPr>
        <w:t xml:space="preserve">- </w:t>
      </w:r>
      <w:r w:rsidRPr="00FD3E3A">
        <w:rPr>
          <w:rFonts w:cs="Helvetica"/>
        </w:rPr>
        <w:t xml:space="preserve">not the </w:t>
      </w:r>
      <w:r w:rsidR="00E74205">
        <w:rPr>
          <w:rFonts w:cs="Helvetica"/>
        </w:rPr>
        <w:t xml:space="preserve">specific </w:t>
      </w:r>
      <w:r w:rsidRPr="00FD3E3A">
        <w:rPr>
          <w:rFonts w:cs="Helvetica"/>
        </w:rPr>
        <w:t>results that are achieved.  Ideally the GAM is used as a team planning or monitoring exercise. </w:t>
      </w:r>
    </w:p>
    <w:p w:rsidR="009A7B75" w:rsidRDefault="00E03C49" w:rsidP="003B69FE">
      <w:proofErr w:type="spellStart"/>
      <w:r>
        <w:t>OPt</w:t>
      </w:r>
      <w:proofErr w:type="spellEnd"/>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6968CA" w:rsidRDefault="006968CA" w:rsidP="00D77612"/>
    <w:p w:rsidR="0068281D" w:rsidRDefault="0068281D" w:rsidP="00D77612"/>
    <w:p w:rsidR="00611D61" w:rsidRDefault="000F2B5A" w:rsidP="00611D61">
      <w:r>
        <w:rPr>
          <w:noProof/>
        </w:rPr>
        <w:lastRenderedPageBreak/>
        <w:drawing>
          <wp:anchor distT="0" distB="0" distL="114300" distR="114300" simplePos="0" relativeHeight="251702272" behindDoc="0" locked="0" layoutInCell="1" allowOverlap="1" wp14:anchorId="35572888">
            <wp:simplePos x="0" y="0"/>
            <wp:positionH relativeFrom="column">
              <wp:posOffset>3213100</wp:posOffset>
            </wp:positionH>
            <wp:positionV relativeFrom="paragraph">
              <wp:posOffset>38100</wp:posOffset>
            </wp:positionV>
            <wp:extent cx="2681605" cy="16668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605" cy="1666875"/>
                    </a:xfrm>
                    <a:prstGeom prst="rect">
                      <a:avLst/>
                    </a:prstGeom>
                    <a:noFill/>
                  </pic:spPr>
                </pic:pic>
              </a:graphicData>
            </a:graphic>
            <wp14:sizeRelH relativeFrom="margin">
              <wp14:pctWidth>0</wp14:pctWidth>
            </wp14:sizeRelH>
            <wp14:sizeRelV relativeFrom="margin">
              <wp14:pctHeight>0</wp14:pctHeight>
            </wp14:sizeRelV>
          </wp:anchor>
        </w:drawing>
      </w:r>
    </w:p>
    <w:p w:rsidR="00D77612" w:rsidRDefault="00F91A45" w:rsidP="00611D61">
      <w:r w:rsidRPr="006968CA">
        <w:t xml:space="preserve">Of the </w:t>
      </w:r>
      <w:r w:rsidR="000F2B5A">
        <w:t>162</w:t>
      </w:r>
      <w:r w:rsidRPr="006968CA">
        <w:t xml:space="preserve"> projects applying the GAM, </w:t>
      </w:r>
      <w:r w:rsidR="000F2B5A">
        <w:t>85</w:t>
      </w:r>
      <w:r w:rsidR="000C2F51" w:rsidRPr="006968CA">
        <w:t xml:space="preserve">% </w:t>
      </w:r>
      <w:r w:rsidR="000F2B5A">
        <w:t>(138</w:t>
      </w:r>
      <w:r w:rsidR="006968CA">
        <w:t xml:space="preserve">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xml:space="preserve">) throughout their program, and </w:t>
      </w:r>
      <w:r w:rsidR="00A664AB" w:rsidRPr="006968CA">
        <w:t xml:space="preserve">an additional </w:t>
      </w:r>
      <w:r w:rsidR="000F2B5A">
        <w:t xml:space="preserve">14 </w:t>
      </w:r>
      <w:r w:rsidR="000C2F51" w:rsidRPr="006968CA">
        <w:t>project</w:t>
      </w:r>
      <w:r w:rsidR="00A664AB" w:rsidRPr="006968CA">
        <w:t xml:space="preserve"> intend</w:t>
      </w:r>
      <w:r w:rsidR="00E74205">
        <w:t>s</w:t>
      </w:r>
      <w:r w:rsidR="00A664AB" w:rsidRPr="006968CA">
        <w:t xml:space="preserve"> to address gender</w:t>
      </w:r>
      <w:r w:rsidR="006968CA">
        <w:t xml:space="preserve"> (Code 3)</w:t>
      </w:r>
      <w:r w:rsidR="00A664AB" w:rsidRPr="006968CA">
        <w:t>.</w:t>
      </w:r>
      <w:r w:rsidR="009A7B75" w:rsidRPr="006968CA">
        <w:t xml:space="preserve">  </w:t>
      </w:r>
      <w:r w:rsidR="006968CA">
        <w:t xml:space="preserve"> </w:t>
      </w:r>
      <w:r w:rsidR="000F2B5A">
        <w:t xml:space="preserve">93% of </w:t>
      </w:r>
      <w:r w:rsidR="008F3A39">
        <w:t>projects mainstream attention to gender</w:t>
      </w:r>
      <w:r w:rsidR="00F31027">
        <w:t xml:space="preserve"> equality</w:t>
      </w:r>
      <w:r w:rsidR="008F3A39">
        <w:t>.</w:t>
      </w:r>
      <w:r w:rsidR="002C5E53">
        <w:t xml:space="preserve">  </w:t>
      </w:r>
      <w:r w:rsidR="00F158AB">
        <w:t>Three</w:t>
      </w:r>
      <w:r w:rsidR="00D77612">
        <w:t xml:space="preserve"> projects indicate that </w:t>
      </w:r>
      <w:r w:rsidR="00BC714C">
        <w:t>gender differences are not applicable (</w:t>
      </w:r>
      <w:r w:rsidR="008F3A39">
        <w:t>Code N/A.)</w:t>
      </w:r>
    </w:p>
    <w:p w:rsidR="00A664AB" w:rsidRDefault="00BC1309" w:rsidP="00D77612">
      <w:pPr>
        <w:ind w:right="110"/>
        <w:rPr>
          <w:noProof/>
        </w:rPr>
      </w:pPr>
      <w:r>
        <w:rPr>
          <w:noProof/>
        </w:rPr>
        <w:drawing>
          <wp:anchor distT="0" distB="0" distL="114300" distR="114300" simplePos="0" relativeHeight="251703296" behindDoc="0" locked="0" layoutInCell="1" allowOverlap="1" wp14:anchorId="5757E8F7">
            <wp:simplePos x="0" y="0"/>
            <wp:positionH relativeFrom="column">
              <wp:posOffset>0</wp:posOffset>
            </wp:positionH>
            <wp:positionV relativeFrom="paragraph">
              <wp:posOffset>287020</wp:posOffset>
            </wp:positionV>
            <wp:extent cx="2806065" cy="2038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065" cy="2038350"/>
                    </a:xfrm>
                    <a:prstGeom prst="rect">
                      <a:avLst/>
                    </a:prstGeom>
                    <a:noFill/>
                  </pic:spPr>
                </pic:pic>
              </a:graphicData>
            </a:graphic>
            <wp14:sizeRelH relativeFrom="margin">
              <wp14:pctWidth>0</wp14:pctWidth>
            </wp14:sizeRelH>
            <wp14:sizeRelV relativeFrom="margin">
              <wp14:pctHeight>0</wp14:pctHeight>
            </wp14:sizeRelV>
          </wp:anchor>
        </w:drawing>
      </w:r>
    </w:p>
    <w:p w:rsidR="00914FD8" w:rsidRDefault="00914FD8" w:rsidP="009A7B75">
      <w:pPr>
        <w:ind w:right="110"/>
      </w:pPr>
    </w:p>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765CD1">
        <w:t>127</w:t>
      </w:r>
      <w:r w:rsidR="00BC1309">
        <w:t xml:space="preserve"> </w:t>
      </w:r>
      <w:r w:rsidR="00035CA2">
        <w:t>projects (</w:t>
      </w:r>
      <w:r w:rsidR="00BC1309">
        <w:t>80</w:t>
      </w:r>
      <w:r w:rsidR="003221EA">
        <w:t>%</w:t>
      </w:r>
      <w:r w:rsidR="00035CA2">
        <w:t>)</w:t>
      </w:r>
      <w:r w:rsidR="003221EA">
        <w:t xml:space="preserve"> </w:t>
      </w:r>
      <w:r w:rsidRPr="00BB22AA">
        <w:t xml:space="preserve">show intention to address </w:t>
      </w:r>
      <w:r w:rsidR="00035CA2">
        <w:t xml:space="preserve">both </w:t>
      </w:r>
      <w:r w:rsidRPr="00BB22AA">
        <w:t>gender and age differences</w:t>
      </w:r>
    </w:p>
    <w:p w:rsidR="00565FBE" w:rsidRDefault="00565FBE" w:rsidP="00565FBE">
      <w:pPr>
        <w:rPr>
          <w:i/>
          <w:iCs/>
        </w:rPr>
      </w:pPr>
    </w:p>
    <w:p w:rsidR="00F414C9" w:rsidRDefault="00F414C9" w:rsidP="00565FBE">
      <w:pPr>
        <w:rPr>
          <w:i/>
          <w:iCs/>
        </w:rPr>
      </w:pPr>
    </w:p>
    <w:p w:rsidR="00565FBE" w:rsidRDefault="00565FBE" w:rsidP="00565FBE">
      <w:pPr>
        <w:rPr>
          <w:i/>
          <w:iCs/>
        </w:rPr>
      </w:pPr>
    </w:p>
    <w:p w:rsidR="00290F04" w:rsidRDefault="00C33961" w:rsidP="00290F04">
      <w:r>
        <w:rPr>
          <w:noProof/>
        </w:rPr>
        <w:drawing>
          <wp:anchor distT="0" distB="0" distL="114300" distR="114300" simplePos="0" relativeHeight="251704320" behindDoc="0" locked="0" layoutInCell="1" allowOverlap="1" wp14:anchorId="5D00FAE3">
            <wp:simplePos x="0" y="0"/>
            <wp:positionH relativeFrom="column">
              <wp:posOffset>3705225</wp:posOffset>
            </wp:positionH>
            <wp:positionV relativeFrom="paragraph">
              <wp:posOffset>8890</wp:posOffset>
            </wp:positionV>
            <wp:extent cx="2365375"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375" cy="1828800"/>
                    </a:xfrm>
                    <a:prstGeom prst="rect">
                      <a:avLst/>
                    </a:prstGeom>
                    <a:noFill/>
                  </pic:spPr>
                </pic:pic>
              </a:graphicData>
            </a:graphic>
            <wp14:sizeRelH relativeFrom="margin">
              <wp14:pctWidth>0</wp14:pctWidth>
            </wp14:sizeRelH>
            <wp14:sizeRelV relativeFrom="margin">
              <wp14:pctHeight>0</wp14:pctHeight>
            </wp14:sizeRelV>
          </wp:anchor>
        </w:drawing>
      </w:r>
      <w:r w:rsidR="005D262A">
        <w:t>Logical, coherent</w:t>
      </w:r>
      <w:r w:rsidR="005D262A">
        <w:t xml:space="preserve"> programming is grounded in </w:t>
      </w:r>
      <w:r w:rsidR="003B0D50">
        <w:t>understanding</w:t>
      </w:r>
      <w:r w:rsidR="005D262A">
        <w:t xml:space="preserve"> who is marginalized</w:t>
      </w:r>
      <w:r w:rsidR="003B0D50">
        <w:t xml:space="preserve"> or</w:t>
      </w:r>
      <w:r w:rsidR="005D262A">
        <w:t xml:space="preserve"> at risk, and why.</w:t>
      </w:r>
      <w:r w:rsidR="003B0D50">
        <w:t xml:space="preserve"> It is not possible to provide an appropriate response without this analysis.  </w:t>
      </w:r>
    </w:p>
    <w:p w:rsidR="0022790E" w:rsidRDefault="0071360A" w:rsidP="0022790E">
      <w:r>
        <w:t xml:space="preserve">A rapid scan of </w:t>
      </w:r>
      <w:r w:rsidR="004B37E4">
        <w:t>GAM</w:t>
      </w:r>
      <w:r>
        <w:t xml:space="preserve"> gender analysis narratives asked, “</w:t>
      </w:r>
      <w:r w:rsidR="004B37E4">
        <w:t xml:space="preserve">is there recognition of the different issues facing males and females?”  The oPt </w:t>
      </w:r>
      <w:r w:rsidR="00290F04">
        <w:t xml:space="preserve">narratives </w:t>
      </w:r>
      <w:r w:rsidR="004B37E4">
        <w:t>indicate</w:t>
      </w:r>
      <w:r w:rsidR="00290F04">
        <w:t xml:space="preserve"> project holders were advised to describe project </w:t>
      </w:r>
      <w:r w:rsidR="00290F04">
        <w:rPr>
          <w:i/>
          <w:iCs/>
        </w:rPr>
        <w:t xml:space="preserve">plans and intentions </w:t>
      </w:r>
      <w:r w:rsidR="00290F04">
        <w:t>for</w:t>
      </w:r>
      <w:r w:rsidR="00290F04">
        <w:t xml:space="preserve"> gender equality</w:t>
      </w:r>
      <w:r w:rsidR="00C33961">
        <w:t xml:space="preserve"> programming</w:t>
      </w:r>
      <w:r w:rsidR="00290F04">
        <w:t xml:space="preserve">, rather than providing an </w:t>
      </w:r>
      <w:r w:rsidR="00290F04" w:rsidRPr="005D262A">
        <w:rPr>
          <w:i/>
          <w:iCs/>
        </w:rPr>
        <w:t>analysis of the situation</w:t>
      </w:r>
      <w:r w:rsidR="00290F04">
        <w:t xml:space="preserve"> that their activities will respond to.</w:t>
      </w:r>
      <w:r w:rsidR="0022790E">
        <w:t xml:space="preserve">  </w:t>
      </w:r>
      <w:r w:rsidR="004B37E4">
        <w:t>Most</w:t>
      </w:r>
      <w:r w:rsidR="0022790E">
        <w:t xml:space="preserve"> projects present </w:t>
      </w:r>
      <w:r w:rsidR="004B37E4">
        <w:t xml:space="preserve">plans, often </w:t>
      </w:r>
      <w:r w:rsidR="0022790E">
        <w:t xml:space="preserve">a list of activities/ outputs/targets, rather </w:t>
      </w:r>
      <w:r w:rsidR="004B37E4">
        <w:t>demonstrating their analysis of the situation.</w:t>
      </w:r>
    </w:p>
    <w:p w:rsidR="005D262A" w:rsidRPr="00C33961" w:rsidRDefault="00C33961" w:rsidP="005D262A">
      <w:r>
        <w:t>When project holders</w:t>
      </w:r>
      <w:r w:rsidR="00DE1110">
        <w:t xml:space="preserve"> </w:t>
      </w:r>
      <w:r>
        <w:t xml:space="preserve">articulate their analyses, </w:t>
      </w:r>
      <w:r w:rsidR="00DE1110">
        <w:t xml:space="preserve">ideally in consultation with clusters, </w:t>
      </w:r>
      <w:r>
        <w:t>they will then be able to check that activities and methods are consistent with and responsive to th</w:t>
      </w:r>
      <w:r w:rsidR="00C372EC">
        <w:t>e analysis</w:t>
      </w:r>
      <w:r>
        <w:t xml:space="preserve">.  At present only 31% of oPt projects describe </w:t>
      </w:r>
      <w:r w:rsidR="00B255C3">
        <w:t>a</w:t>
      </w:r>
      <w:r>
        <w:t xml:space="preserve"> situation of inequality, although almost all of them explain how they intend to respond to it.</w:t>
      </w:r>
    </w:p>
    <w:p w:rsidR="004E75CA" w:rsidRDefault="004E75CA" w:rsidP="00C930BD"/>
    <w:p w:rsidR="005327C5" w:rsidRDefault="00695F24" w:rsidP="00C930BD">
      <w:r>
        <w:rPr>
          <w:noProof/>
        </w:rPr>
        <w:lastRenderedPageBreak/>
        <w:drawing>
          <wp:anchor distT="0" distB="0" distL="114300" distR="114300" simplePos="0" relativeHeight="251705344" behindDoc="0" locked="0" layoutInCell="1" allowOverlap="1" wp14:anchorId="15217BD2">
            <wp:simplePos x="0" y="0"/>
            <wp:positionH relativeFrom="column">
              <wp:posOffset>0</wp:posOffset>
            </wp:positionH>
            <wp:positionV relativeFrom="paragraph">
              <wp:posOffset>209550</wp:posOffset>
            </wp:positionV>
            <wp:extent cx="2628072" cy="190881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072" cy="1908810"/>
                    </a:xfrm>
                    <a:prstGeom prst="rect">
                      <a:avLst/>
                    </a:prstGeom>
                    <a:noFill/>
                  </pic:spPr>
                </pic:pic>
              </a:graphicData>
            </a:graphic>
          </wp:anchor>
        </w:drawing>
      </w:r>
    </w:p>
    <w:p w:rsidR="00E504E2" w:rsidRDefault="00695F24" w:rsidP="00695F24">
      <w:r>
        <w:t xml:space="preserve">62% of oPt projects </w:t>
      </w:r>
      <w:r w:rsidR="009C0FCC">
        <w:t>say they consider women, girls, boys and men</w:t>
      </w:r>
      <w:r w:rsidR="00D20291">
        <w:t xml:space="preserve"> in their analysis</w:t>
      </w:r>
      <w:r w:rsidR="009C0FCC">
        <w:t xml:space="preserve">.  Overall, </w:t>
      </w:r>
      <w:r>
        <w:t xml:space="preserve">there is little variation in focus with 78% to 86% of projects considering one or more </w:t>
      </w:r>
      <w:r w:rsidR="00646872">
        <w:t xml:space="preserve">of these </w:t>
      </w:r>
      <w:r>
        <w:t>gender groups</w:t>
      </w:r>
      <w:r w:rsidR="00A736D4">
        <w:t>.</w:t>
      </w:r>
      <w:r w:rsidR="000D7966">
        <w:t xml:space="preserve">  </w:t>
      </w:r>
      <w:r>
        <w:t>Fourteen</w:t>
      </w:r>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0D7966">
        <w:t>may be</w:t>
      </w:r>
      <w:r w:rsidR="00E504E2">
        <w:t xml:space="preserve"> confusion about the definition as this gender group is not mentioned in any of the narrative analyses. </w:t>
      </w:r>
      <w:r w:rsidR="00C930BD">
        <w:t xml:space="preserve"> </w:t>
      </w:r>
      <w:r w:rsidR="00E504E2">
        <w:t xml:space="preserve">  </w:t>
      </w:r>
      <w:r w:rsidR="00E504E2">
        <w:tab/>
        <w:t xml:space="preserve"> </w:t>
      </w:r>
    </w:p>
    <w:p w:rsidR="005D7A4D" w:rsidRDefault="005D7A4D" w:rsidP="005327C5"/>
    <w:p w:rsidR="00027229" w:rsidRDefault="00027229" w:rsidP="005327C5">
      <w:pPr>
        <w:rPr>
          <w:noProof/>
        </w:rPr>
      </w:pPr>
    </w:p>
    <w:p w:rsidR="009C0FCC" w:rsidRDefault="00646872" w:rsidP="001B3CD5">
      <w:r>
        <w:rPr>
          <w:noProof/>
        </w:rPr>
        <w:drawing>
          <wp:anchor distT="0" distB="0" distL="114300" distR="114300" simplePos="0" relativeHeight="251706368" behindDoc="0" locked="0" layoutInCell="1" allowOverlap="1" wp14:anchorId="653F51C5">
            <wp:simplePos x="0" y="0"/>
            <wp:positionH relativeFrom="column">
              <wp:posOffset>0</wp:posOffset>
            </wp:positionH>
            <wp:positionV relativeFrom="paragraph">
              <wp:posOffset>4445</wp:posOffset>
            </wp:positionV>
            <wp:extent cx="2627630" cy="190849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630" cy="1908490"/>
                    </a:xfrm>
                    <a:prstGeom prst="rect">
                      <a:avLst/>
                    </a:prstGeom>
                    <a:noFill/>
                  </pic:spPr>
                </pic:pic>
              </a:graphicData>
            </a:graphic>
          </wp:anchor>
        </w:drawing>
      </w:r>
      <w:r w:rsidR="00BD1508">
        <w:t>31% of</w:t>
      </w:r>
      <w:r w:rsidR="00027229">
        <w:t xml:space="preserve"> projects </w:t>
      </w:r>
      <w:r w:rsidR="009C0FCC">
        <w:t xml:space="preserve">indicate their analysis includes </w:t>
      </w:r>
      <w:r w:rsidR="00027229">
        <w:t>all age groups</w:t>
      </w:r>
      <w:r w:rsidR="00EC172C">
        <w:t xml:space="preserve">; </w:t>
      </w:r>
      <w:r w:rsidR="009C0FCC">
        <w:t xml:space="preserve">the majority are more selective.  </w:t>
      </w:r>
      <w:r w:rsidR="00EC172C">
        <w:t xml:space="preserve"> Middle-aged adults are </w:t>
      </w:r>
      <w:r w:rsidR="00BD1508">
        <w:t>the</w:t>
      </w:r>
      <w:r w:rsidR="00EC172C">
        <w:t xml:space="preserve"> focus of analysis in </w:t>
      </w:r>
      <w:r w:rsidR="00BD1508">
        <w:t>81%</w:t>
      </w:r>
      <w:r w:rsidR="00EC172C">
        <w:t xml:space="preserve"> of projects</w:t>
      </w:r>
      <w:r w:rsidR="00027229">
        <w:t xml:space="preserve">; </w:t>
      </w:r>
      <w:r w:rsidR="00BD1508">
        <w:t xml:space="preserve">young adults, </w:t>
      </w:r>
      <w:r w:rsidR="00027229">
        <w:t xml:space="preserve">adolescents and children are included in </w:t>
      </w:r>
      <w:r w:rsidR="00BD1508">
        <w:t xml:space="preserve">70% to 74% of </w:t>
      </w:r>
      <w:r w:rsidR="00027229">
        <w:t>projects.</w:t>
      </w:r>
      <w:r w:rsidR="00EC172C">
        <w:t xml:space="preserve">  </w:t>
      </w:r>
      <w:r w:rsidR="00027229">
        <w:t xml:space="preserve">A smaller proportion of projects </w:t>
      </w:r>
      <w:r w:rsidR="009C0FCC">
        <w:t xml:space="preserve">specifically </w:t>
      </w:r>
      <w:r w:rsidR="001B3CD5">
        <w:t>look at</w:t>
      </w:r>
      <w:r w:rsidR="00027229">
        <w:t xml:space="preserve"> the situation of</w:t>
      </w:r>
      <w:r w:rsidR="009C0FCC">
        <w:t xml:space="preserve"> older adults</w:t>
      </w:r>
      <w:r w:rsidR="00EC172C">
        <w:t>, young children</w:t>
      </w:r>
      <w:r w:rsidR="000651FB">
        <w:t xml:space="preserve">.  </w:t>
      </w:r>
      <w:r w:rsidR="001B3CD5">
        <w:t>Nine</w:t>
      </w:r>
      <w:r w:rsidR="00EC172C">
        <w:t xml:space="preserve"> project</w:t>
      </w:r>
      <w:r w:rsidR="009C0FCC">
        <w:t xml:space="preserve">s do not specify age groups </w:t>
      </w:r>
      <w:r w:rsidR="00EC172C">
        <w:t>in their analysis</w:t>
      </w:r>
      <w:r w:rsidR="009C0FCC">
        <w:t>.</w:t>
      </w:r>
    </w:p>
    <w:p w:rsidR="009C0FCC" w:rsidRDefault="009C0FCC" w:rsidP="00E504E2"/>
    <w:p w:rsidR="00A76E94" w:rsidRDefault="00A76E94" w:rsidP="00E504E2"/>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471233" w:rsidRDefault="00471233" w:rsidP="001F7724"/>
    <w:p w:rsidR="001F7724" w:rsidRDefault="00F75451" w:rsidP="001F7724">
      <w:r>
        <w:rPr>
          <w:noProof/>
        </w:rPr>
        <w:drawing>
          <wp:anchor distT="0" distB="0" distL="114300" distR="114300" simplePos="0" relativeHeight="251707392" behindDoc="0" locked="0" layoutInCell="1" allowOverlap="1" wp14:anchorId="2E86502B">
            <wp:simplePos x="0" y="0"/>
            <wp:positionH relativeFrom="column">
              <wp:posOffset>3339465</wp:posOffset>
            </wp:positionH>
            <wp:positionV relativeFrom="paragraph">
              <wp:posOffset>12700</wp:posOffset>
            </wp:positionV>
            <wp:extent cx="2705735" cy="19653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735" cy="1965325"/>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F75451" w:rsidP="001F7724">
      <w:r>
        <w:t>6</w:t>
      </w:r>
      <w:r w:rsidR="00F40BC0">
        <w:t>7</w:t>
      </w:r>
      <w:r w:rsidR="00E504E2">
        <w:t xml:space="preserve">% </w:t>
      </w:r>
      <w:r w:rsidR="00F40BC0">
        <w:t>(</w:t>
      </w:r>
      <w:r>
        <w:t>106/159</w:t>
      </w:r>
      <w:r w:rsidR="00F40BC0">
        <w:t xml:space="preserve">) </w:t>
      </w:r>
      <w:r w:rsidR="00E504E2">
        <w:t xml:space="preserve">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t>32</w:t>
      </w:r>
      <w:r w:rsidR="00E504E2">
        <w:t>%</w:t>
      </w:r>
      <w:r w:rsidR="00F40BC0">
        <w:t xml:space="preserve"> (</w:t>
      </w:r>
      <w:r>
        <w:t>51/159</w:t>
      </w:r>
      <w:r w:rsidR="00F40BC0">
        <w:t>)</w:t>
      </w:r>
      <w:r w:rsidR="00E504E2">
        <w:t xml:space="preserve"> tailor activities based on </w:t>
      </w:r>
      <w:r w:rsidR="00BD2321">
        <w:t xml:space="preserve">the </w:t>
      </w:r>
      <w:r w:rsidR="00E504E2">
        <w:t xml:space="preserve">different needs.    </w:t>
      </w:r>
      <w:r>
        <w:t>Two projects are</w:t>
      </w:r>
      <w:r w:rsidR="00E504E2">
        <w:t xml:space="preserve"> “targeted action</w:t>
      </w:r>
      <w:r>
        <w:t>s</w:t>
      </w:r>
      <w:r w:rsidR="00E504E2">
        <w:t xml:space="preserve">” (Code T) </w:t>
      </w:r>
      <w:r>
        <w:t xml:space="preserve">aimed </w:t>
      </w:r>
      <w:r w:rsidR="00E504E2">
        <w:t>to reduce gender barriers or discrimination</w:t>
      </w:r>
      <w:r w:rsidR="00621697">
        <w:t>; th</w:t>
      </w:r>
      <w:r w:rsidR="00BD2321">
        <w:t xml:space="preserve">ere are usually </w:t>
      </w:r>
      <w:r w:rsidR="00A3710F">
        <w:t xml:space="preserve">very </w:t>
      </w:r>
      <w:r w:rsidR="00BD2321">
        <w:t xml:space="preserve">few such projects </w:t>
      </w:r>
      <w:r w:rsidR="00E504E2">
        <w:t xml:space="preserve">in </w:t>
      </w:r>
      <w:r w:rsidR="00621697">
        <w:t>humanitarian setting</w:t>
      </w:r>
      <w:r w:rsidR="00E504E2">
        <w:t xml:space="preserve">s.  </w:t>
      </w:r>
    </w:p>
    <w:p w:rsidR="00246F23" w:rsidRDefault="00246F23" w:rsidP="00E504E2"/>
    <w:p w:rsidR="006837FD" w:rsidRDefault="006837FD" w:rsidP="00E504E2"/>
    <w:p w:rsidR="00981DE5" w:rsidRDefault="00981DE5" w:rsidP="00621E5A"/>
    <w:p w:rsidR="00D866A1" w:rsidRDefault="0088585D" w:rsidP="00621E5A">
      <w:r>
        <w:rPr>
          <w:noProof/>
        </w:rPr>
        <w:lastRenderedPageBreak/>
        <w:drawing>
          <wp:anchor distT="0" distB="0" distL="114300" distR="114300" simplePos="0" relativeHeight="251708416" behindDoc="0" locked="0" layoutInCell="1" allowOverlap="1" wp14:anchorId="7D583738">
            <wp:simplePos x="0" y="0"/>
            <wp:positionH relativeFrom="column">
              <wp:posOffset>3247390</wp:posOffset>
            </wp:positionH>
            <wp:positionV relativeFrom="paragraph">
              <wp:posOffset>57150</wp:posOffset>
            </wp:positionV>
            <wp:extent cx="2622550" cy="190500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50" cy="1905000"/>
                    </a:xfrm>
                    <a:prstGeom prst="rect">
                      <a:avLst/>
                    </a:prstGeom>
                    <a:noFill/>
                  </pic:spPr>
                </pic:pic>
              </a:graphicData>
            </a:graphic>
            <wp14:sizeRelH relativeFrom="margin">
              <wp14:pctWidth>0</wp14:pctWidth>
            </wp14:sizeRelH>
            <wp14:sizeRelV relativeFrom="margin">
              <wp14:pctHeight>0</wp14:pctHeight>
            </wp14:sizeRelV>
          </wp:anchor>
        </w:drawing>
      </w:r>
      <w:r w:rsidR="00E504E2">
        <w:t xml:space="preserve">How affected people participate differs widely among projects and shows meaningful response. While </w:t>
      </w:r>
      <w:r>
        <w:t xml:space="preserve">43% (68 </w:t>
      </w:r>
      <w:r w:rsidR="006837FD">
        <w:t>projects</w:t>
      </w:r>
      <w:r>
        <w:t>)</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 xml:space="preserve">assessing needs </w:t>
      </w:r>
      <w:r>
        <w:t xml:space="preserve">followed by activities design.  A smaller proportion </w:t>
      </w:r>
      <w:r w:rsidR="00D866A1">
        <w:t xml:space="preserve">of projects have beneficiaries involved in </w:t>
      </w:r>
      <w:r>
        <w:t xml:space="preserve">assistance delivery, and only 53% say they will be involved </w:t>
      </w:r>
      <w:r w:rsidR="00CD7CCE">
        <w:t>in</w:t>
      </w:r>
      <w:r w:rsidR="00D866A1">
        <w:t xml:space="preserve"> project review and revision.   </w:t>
      </w:r>
      <w:r w:rsidR="006837FD">
        <w:t xml:space="preserve">There are </w:t>
      </w:r>
      <w:r>
        <w:t>two</w:t>
      </w:r>
      <w:r w:rsidR="006837FD">
        <w:t xml:space="preserve"> projects </w:t>
      </w:r>
      <w:r w:rsidR="009165A3">
        <w:t>where</w:t>
      </w:r>
      <w:r w:rsidR="00D866A1">
        <w:t xml:space="preserve"> affected people </w:t>
      </w:r>
      <w:r w:rsidR="006837FD">
        <w:t>will not be</w:t>
      </w:r>
      <w:r w:rsidR="00D866A1">
        <w:t xml:space="preserve"> involved in any of these activities.</w:t>
      </w:r>
    </w:p>
    <w:p w:rsidR="00246F23" w:rsidRDefault="00246F23" w:rsidP="00E504E2"/>
    <w:p w:rsidR="00984195" w:rsidRDefault="00984195" w:rsidP="00E504E2"/>
    <w:p w:rsidR="00621E5A" w:rsidRDefault="00EF22B0" w:rsidP="00E504E2">
      <w:r>
        <w:rPr>
          <w:noProof/>
        </w:rPr>
        <w:drawing>
          <wp:anchor distT="0" distB="0" distL="114300" distR="114300" simplePos="0" relativeHeight="251709440" behindDoc="0" locked="0" layoutInCell="1" allowOverlap="1" wp14:anchorId="3065F0A7">
            <wp:simplePos x="0" y="0"/>
            <wp:positionH relativeFrom="column">
              <wp:posOffset>0</wp:posOffset>
            </wp:positionH>
            <wp:positionV relativeFrom="paragraph">
              <wp:posOffset>-1905</wp:posOffset>
            </wp:positionV>
            <wp:extent cx="2614958" cy="189928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4958" cy="1899285"/>
                    </a:xfrm>
                    <a:prstGeom prst="rect">
                      <a:avLst/>
                    </a:prstGeom>
                    <a:noFill/>
                  </pic:spPr>
                </pic:pic>
              </a:graphicData>
            </a:graphic>
          </wp:anchor>
        </w:drawing>
      </w:r>
    </w:p>
    <w:p w:rsidR="001F7724" w:rsidRDefault="001F7724" w:rsidP="00FB51F4"/>
    <w:p w:rsidR="001F7724" w:rsidRDefault="00F12813" w:rsidP="00E504E2">
      <w:r>
        <w:t>Women and men will be influencing</w:t>
      </w:r>
      <w:r w:rsidR="00BF1E4C">
        <w:t xml:space="preserve"> at least one aspect of project management</w:t>
      </w:r>
      <w:r>
        <w:t xml:space="preserve"> in 92% and 89% of projects respectively; girls and boys are expected to be less involved.  Fourteen</w:t>
      </w:r>
      <w:r w:rsidR="00BF1E4C">
        <w:t xml:space="preserve"> projects </w:t>
      </w:r>
      <w:r w:rsidR="00E74205">
        <w:t>expect the participation</w:t>
      </w:r>
      <w:r w:rsidR="00BF1E4C">
        <w:t xml:space="preserve"> </w:t>
      </w:r>
      <w:r>
        <w:t xml:space="preserve">of </w:t>
      </w:r>
      <w:r w:rsidR="00BF1E4C">
        <w:t>people of diverse gender/sexual orientatio</w:t>
      </w:r>
      <w:r w:rsidR="00E74205">
        <w:t>n.</w:t>
      </w:r>
    </w:p>
    <w:p w:rsidR="001F7724" w:rsidRDefault="001F7724" w:rsidP="00E504E2"/>
    <w:p w:rsidR="001F7724" w:rsidRDefault="001F7724" w:rsidP="00E504E2"/>
    <w:p w:rsidR="00FB51F4" w:rsidRDefault="00FB51F4" w:rsidP="00E504E2"/>
    <w:p w:rsidR="00981DE5" w:rsidRDefault="00D6013D" w:rsidP="00E504E2">
      <w:r>
        <w:rPr>
          <w:noProof/>
        </w:rPr>
        <w:drawing>
          <wp:anchor distT="0" distB="0" distL="114300" distR="114300" simplePos="0" relativeHeight="251710464" behindDoc="0" locked="0" layoutInCell="1" allowOverlap="1" wp14:anchorId="64106189">
            <wp:simplePos x="0" y="0"/>
            <wp:positionH relativeFrom="column">
              <wp:posOffset>848</wp:posOffset>
            </wp:positionH>
            <wp:positionV relativeFrom="paragraph">
              <wp:posOffset>176530</wp:posOffset>
            </wp:positionV>
            <wp:extent cx="2614930" cy="1899266"/>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4930" cy="1899266"/>
                    </a:xfrm>
                    <a:prstGeom prst="rect">
                      <a:avLst/>
                    </a:prstGeom>
                    <a:noFill/>
                  </pic:spPr>
                </pic:pic>
              </a:graphicData>
            </a:graphic>
          </wp:anchor>
        </w:drawing>
      </w:r>
    </w:p>
    <w:p w:rsidR="004A7DD5" w:rsidRDefault="001F7724" w:rsidP="00981DE5">
      <w:r>
        <w:t>Participation by age groups seems similarly well-thought.   It is likely that most people influence project management will be middle-aged and you</w:t>
      </w:r>
      <w:r w:rsidR="0007082E">
        <w:t xml:space="preserve">ng </w:t>
      </w:r>
      <w:r>
        <w:t xml:space="preserve">adults; it is encouraging to see </w:t>
      </w:r>
      <w:r w:rsidR="00926F81">
        <w:t>several projects intending for</w:t>
      </w:r>
      <w:r>
        <w:t xml:space="preserve"> </w:t>
      </w:r>
      <w:r w:rsidR="00984195">
        <w:t xml:space="preserve">children and </w:t>
      </w:r>
      <w:r>
        <w:t xml:space="preserve">adolescents to have an active role.   Lowest levels of participation are by older adults and young children; while the latter is probably realistic, one hopes more might be done to engage with the elderly.  </w:t>
      </w:r>
    </w:p>
    <w:p w:rsidR="00621E5A" w:rsidRDefault="00621E5A" w:rsidP="00E504E2"/>
    <w:p w:rsidR="005F7A8B" w:rsidRDefault="005F7A8B" w:rsidP="00E504E2">
      <w:pPr>
        <w:rPr>
          <w:noProof/>
        </w:rPr>
      </w:pPr>
    </w:p>
    <w:p w:rsidR="00007A76" w:rsidRDefault="00007A76" w:rsidP="00E504E2"/>
    <w:p w:rsidR="00C273FA" w:rsidRPr="000661F4" w:rsidRDefault="000661F4" w:rsidP="00E27228">
      <w:pPr>
        <w:rPr>
          <w:u w:val="single"/>
        </w:rPr>
      </w:pPr>
      <w:r>
        <w:rPr>
          <w:noProof/>
          <w:u w:val="single"/>
        </w:rPr>
        <w:lastRenderedPageBreak/>
        <w:drawing>
          <wp:anchor distT="0" distB="0" distL="114300" distR="114300" simplePos="0" relativeHeight="251713536" behindDoc="0" locked="0" layoutInCell="1" allowOverlap="1" wp14:anchorId="0B7D9018">
            <wp:simplePos x="0" y="0"/>
            <wp:positionH relativeFrom="column">
              <wp:posOffset>0</wp:posOffset>
            </wp:positionH>
            <wp:positionV relativeFrom="paragraph">
              <wp:posOffset>38100</wp:posOffset>
            </wp:positionV>
            <wp:extent cx="2371725" cy="172212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1725" cy="1722120"/>
                    </a:xfrm>
                    <a:prstGeom prst="rect">
                      <a:avLst/>
                    </a:prstGeom>
                    <a:noFill/>
                  </pic:spPr>
                </pic:pic>
              </a:graphicData>
            </a:graphic>
            <wp14:sizeRelH relativeFrom="margin">
              <wp14:pctWidth>0</wp14:pctWidth>
            </wp14:sizeRelH>
            <wp14:sizeRelV relativeFrom="margin">
              <wp14:pctHeight>0</wp14:pctHeight>
            </wp14:sizeRelV>
          </wp:anchor>
        </w:drawing>
      </w:r>
      <w:r w:rsidRPr="000C06DA">
        <w:rPr>
          <w:noProof/>
          <w:u w:val="single"/>
        </w:rPr>
        <mc:AlternateContent>
          <mc:Choice Requires="wps">
            <w:drawing>
              <wp:anchor distT="45720" distB="45720" distL="114300" distR="114300" simplePos="0" relativeHeight="251712512" behindDoc="1" locked="0" layoutInCell="1" allowOverlap="1">
                <wp:simplePos x="0" y="0"/>
                <wp:positionH relativeFrom="column">
                  <wp:posOffset>1028700</wp:posOffset>
                </wp:positionH>
                <wp:positionV relativeFrom="paragraph">
                  <wp:posOffset>428625</wp:posOffset>
                </wp:positionV>
                <wp:extent cx="14001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FFFFFF"/>
                        </a:solidFill>
                        <a:ln w="9525">
                          <a:solidFill>
                            <a:srgbClr val="000000"/>
                          </a:solidFill>
                          <a:miter lim="800000"/>
                          <a:headEnd/>
                          <a:tailEnd/>
                        </a:ln>
                      </wps:spPr>
                      <wps:txbx>
                        <w:txbxContent>
                          <w:p w:rsidR="000C06DA" w:rsidRDefault="000661F4">
                            <w:r>
                              <w:t>No indicators,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33.75pt;width:110.25pt;height:19.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SXIwIAAEY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">
                <v:textbox>
                  <w:txbxContent>
                    <w:p w:rsidR="000C06DA" w:rsidRDefault="000661F4">
                      <w:r>
                        <w:t>No indicators, 1%</w:t>
                      </w:r>
                    </w:p>
                  </w:txbxContent>
                </v:textbox>
              </v:shape>
            </w:pict>
          </mc:Fallback>
        </mc:AlternateContent>
      </w:r>
      <w:r w:rsidR="00C273FA" w:rsidRPr="00C273FA">
        <w:rPr>
          <w:u w:val="single"/>
        </w:rPr>
        <w:t xml:space="preserve">Reporting relative benefits </w:t>
      </w:r>
    </w:p>
    <w:p w:rsidR="00E504E2" w:rsidRDefault="000661F4" w:rsidP="002C6CA5">
      <w:r>
        <w:t>126</w:t>
      </w:r>
      <w:r w:rsidR="004F4A16">
        <w:t xml:space="preserve"> projects </w:t>
      </w:r>
      <w:r w:rsidR="00951F38">
        <w:t>(</w:t>
      </w:r>
      <w:r>
        <w:t>79</w:t>
      </w:r>
      <w:r w:rsidR="00951F38">
        <w:t xml:space="preserve">%) </w:t>
      </w:r>
      <w:r w:rsidR="004F4A16">
        <w:t xml:space="preserve">say they will be able to provide disaggregated information on both the activities delivered, and the needs met.  Smaller </w:t>
      </w:r>
      <w:r w:rsidR="00951F38">
        <w:t xml:space="preserve">numbers of projects </w:t>
      </w:r>
      <w:r w:rsidR="004F4A16">
        <w:t>(</w:t>
      </w:r>
      <w:r>
        <w:t>14%</w:t>
      </w:r>
      <w:r w:rsidR="00951F38">
        <w:t xml:space="preserve"> and </w:t>
      </w:r>
      <w:r>
        <w:t>5%</w:t>
      </w:r>
      <w:r w:rsidR="00951F38">
        <w:t xml:space="preserve"> respectively</w:t>
      </w:r>
      <w:r w:rsidR="004F4A16">
        <w:t xml:space="preserve">) plan to report on either </w:t>
      </w:r>
      <w:proofErr w:type="gramStart"/>
      <w:r w:rsidR="002C6CA5">
        <w:t>needs</w:t>
      </w:r>
      <w:proofErr w:type="gramEnd"/>
      <w:r w:rsidR="002C6CA5">
        <w:t xml:space="preserve"> met or </w:t>
      </w:r>
      <w:r w:rsidR="004F4A16">
        <w:t>activities delivered, for different gender and age groups.</w:t>
      </w:r>
      <w:r w:rsidR="00007A76">
        <w:t xml:space="preserve">   </w:t>
      </w:r>
      <w:r>
        <w:t>Two projects (1%) report no indicators yet.</w:t>
      </w:r>
    </w:p>
    <w:p w:rsidR="002C6CA5" w:rsidRDefault="002C6CA5" w:rsidP="002C6CA5"/>
    <w:p w:rsidR="00BB18C1" w:rsidRDefault="00BB18C1" w:rsidP="00E504E2">
      <w:pPr>
        <w:rPr>
          <w:u w:val="single"/>
        </w:rPr>
      </w:pPr>
      <w:bookmarkStart w:id="1" w:name="_Hlk531246573"/>
    </w:p>
    <w:p w:rsidR="007A21B2" w:rsidRPr="007A21B2" w:rsidRDefault="007A21B2" w:rsidP="00E504E2">
      <w:pPr>
        <w:rPr>
          <w:u w:val="single"/>
        </w:rPr>
      </w:pPr>
      <w:r>
        <w:rPr>
          <w:u w:val="single"/>
        </w:rPr>
        <w:t>Summary</w:t>
      </w:r>
    </w:p>
    <w:p w:rsidR="00C36622" w:rsidRDefault="00C36622" w:rsidP="000E4111">
      <w:r>
        <w:t xml:space="preserve">It will be important to ensure that </w:t>
      </w:r>
      <w:r w:rsidR="00B309C5">
        <w:t xml:space="preserve">all </w:t>
      </w:r>
      <w:r>
        <w:t xml:space="preserve">HPC approved projects apply the GAM before beginning implementation. The GAM can be applied several times, as project holders review and </w:t>
      </w:r>
      <w:proofErr w:type="gramStart"/>
      <w:r>
        <w:t>make adjustments to</w:t>
      </w:r>
      <w:proofErr w:type="gramEnd"/>
      <w:r>
        <w:t xml:space="preserve"> their programs.  </w:t>
      </w:r>
      <w:r w:rsidRPr="004E3377">
        <w:t xml:space="preserve">Users </w:t>
      </w:r>
      <w:r>
        <w:t xml:space="preserve">report </w:t>
      </w:r>
      <w:r w:rsidRPr="004E3377">
        <w:t xml:space="preserve">that the GAM has drawn their attention to gender- and age-related concerns that might otherwise have been missed.   </w:t>
      </w:r>
    </w:p>
    <w:p w:rsidR="007A21B2" w:rsidRDefault="007A21B2" w:rsidP="000E4111">
      <w:r>
        <w:t xml:space="preserve">A total of </w:t>
      </w:r>
      <w:r w:rsidR="00B309C5">
        <w:t>302</w:t>
      </w:r>
      <w:r>
        <w:t xml:space="preserve"> GAM forms were completed for </w:t>
      </w:r>
      <w:proofErr w:type="spellStart"/>
      <w:r w:rsidR="00E03C49">
        <w:t>OPt</w:t>
      </w:r>
      <w:proofErr w:type="spellEnd"/>
      <w:r w:rsidR="00BB18C1">
        <w:t xml:space="preserve">, including </w:t>
      </w:r>
      <w:r w:rsidR="00B309C5">
        <w:t>140</w:t>
      </w:r>
      <w:r w:rsidR="00BB18C1">
        <w:t xml:space="preserve"> for projects that were not accepted in the HPC.</w:t>
      </w:r>
      <w:r>
        <w:t xml:space="preserve">   There are </w:t>
      </w:r>
      <w:r w:rsidR="00B309C5">
        <w:t>203</w:t>
      </w:r>
      <w:r>
        <w:t xml:space="preserve"> accepted projects in the HPC; the IASC Gender with Age Marker was completed for </w:t>
      </w:r>
      <w:r w:rsidR="00B309C5">
        <w:t>162 (80</w:t>
      </w:r>
      <w:r>
        <w:t xml:space="preserve">%) of </w:t>
      </w:r>
      <w:r w:rsidR="00BB18C1">
        <w:t>these</w:t>
      </w:r>
      <w:r>
        <w:t xml:space="preserve">.   </w:t>
      </w:r>
      <w:r w:rsidR="006B66B0">
        <w:t>38</w:t>
      </w:r>
      <w:r w:rsidR="000E4111">
        <w:t xml:space="preserve"> </w:t>
      </w:r>
      <w:r w:rsidR="00E2259A">
        <w:t>additional</w:t>
      </w:r>
      <w:r>
        <w:t xml:space="preserve"> accepted HPC projects cite a GAM </w:t>
      </w:r>
      <w:r w:rsidR="00E2259A">
        <w:t>reference</w:t>
      </w:r>
      <w:r w:rsidR="006B66B0">
        <w:t xml:space="preserve"> number</w:t>
      </w:r>
      <w:r w:rsidR="00E2259A">
        <w:t xml:space="preserve"> </w:t>
      </w:r>
      <w:r w:rsidR="00307A59">
        <w:t xml:space="preserve">(including one duplicate) </w:t>
      </w:r>
      <w:r w:rsidR="000E4111">
        <w:t xml:space="preserve">but it appears that </w:t>
      </w:r>
      <w:r w:rsidR="00E2259A">
        <w:t>these</w:t>
      </w:r>
      <w:r w:rsidR="000E4111">
        <w:t xml:space="preserve"> users failed to actually “submit” the GAM form</w:t>
      </w:r>
      <w:r>
        <w:t>.</w:t>
      </w:r>
    </w:p>
    <w:p w:rsidR="006B66B0" w:rsidRDefault="00BB1ED8" w:rsidP="006B66B0">
      <w:r>
        <w:t xml:space="preserve">There </w:t>
      </w:r>
      <w:r w:rsidR="006B66B0">
        <w:t>were thirteen</w:t>
      </w:r>
      <w:r>
        <w:t xml:space="preserve"> “transcription error</w:t>
      </w:r>
      <w:r w:rsidR="006B66B0">
        <w:t>s</w:t>
      </w:r>
      <w:r>
        <w:t xml:space="preserve">” when copying GAM codes into the HPC.  </w:t>
      </w:r>
      <w:r w:rsidR="008B1A0A">
        <w:t xml:space="preserve"> </w:t>
      </w:r>
      <w:r w:rsidR="006B66B0">
        <w:t xml:space="preserve">These show that there may still be a misperception that a “targeted action” (T) is somehow better than a project that mainstreams gender (M).  </w:t>
      </w:r>
      <w:r w:rsidR="006B66B0">
        <w:t>Seven</w:t>
      </w:r>
      <w:r w:rsidR="006B66B0">
        <w:t xml:space="preserve"> projects changed their code from (M) to (T) when entering it in</w:t>
      </w:r>
      <w:r w:rsidR="006B66B0">
        <w:t>to</w:t>
      </w:r>
      <w:r w:rsidR="006B66B0">
        <w:t xml:space="preserve"> HPC tools, including three who also ‘upgraded’ their numeric code.   </w:t>
      </w:r>
      <w:r w:rsidR="006B66B0">
        <w:t>Six</w:t>
      </w:r>
      <w:r w:rsidR="006B66B0">
        <w:t xml:space="preserve"> projects entered a </w:t>
      </w:r>
      <w:r w:rsidR="006B66B0">
        <w:t>high</w:t>
      </w:r>
      <w:r w:rsidR="006B66B0">
        <w:t xml:space="preserve">er numeric score in the HPC than </w:t>
      </w:r>
      <w:proofErr w:type="gramStart"/>
      <w:r w:rsidR="006B66B0">
        <w:t>actually received</w:t>
      </w:r>
      <w:proofErr w:type="gramEnd"/>
      <w:r w:rsidR="00D5197D">
        <w:t xml:space="preserve"> when they completed the GAM</w:t>
      </w:r>
      <w:r w:rsidR="006B66B0">
        <w:t>. The analysis in this report is based on the correct GAM scores in the GAM data base.</w:t>
      </w:r>
    </w:p>
    <w:bookmarkEnd w:id="1"/>
    <w:p w:rsidR="00354FF1" w:rsidRDefault="00354FF1" w:rsidP="00354FF1">
      <w:r>
        <w:t xml:space="preserve">It is </w:t>
      </w:r>
      <w:r w:rsidR="00C36622">
        <w:t>commendable</w:t>
      </w:r>
      <w:r>
        <w:t xml:space="preserve"> that the Gender with Age Marker was applied to </w:t>
      </w:r>
      <w:r w:rsidR="00E27228">
        <w:t>such a high percentage of oPt projects</w:t>
      </w:r>
      <w:r>
        <w:t xml:space="preserve">, given the lack of formal direction from Agencies and few trained GAM resource people involved in-country.  </w:t>
      </w:r>
      <w:r w:rsidR="00B212FB">
        <w:t xml:space="preserve"> </w:t>
      </w:r>
      <w:r w:rsidR="00E27228">
        <w:t xml:space="preserve">This is entirely due to the commitment and motivation of individuals in OCHA and other agencies. </w:t>
      </w:r>
    </w:p>
    <w:p w:rsidR="007C6FD6" w:rsidRDefault="007C6FD6" w:rsidP="007C6FD6">
      <w:r w:rsidRPr="004E3377">
        <w:t xml:space="preserve">In addition to highlighting overall strong </w:t>
      </w:r>
      <w:r>
        <w:t xml:space="preserve">desire to address specific needs of different groups in </w:t>
      </w:r>
      <w:proofErr w:type="spellStart"/>
      <w:r w:rsidR="00E03C49">
        <w:t>OPt</w:t>
      </w:r>
      <w:proofErr w:type="spellEnd"/>
      <w:r>
        <w:t xml:space="preserve">, </w:t>
      </w:r>
      <w:r w:rsidRPr="004E3377">
        <w:t xml:space="preserve">the GAM also identifies areas and agencies where programming can be more responsive to gender- and age-related exclusion.  </w:t>
      </w:r>
      <w:r>
        <w:t>There may be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4B0BB2" w:rsidRDefault="007C6FD6" w:rsidP="00E27228">
      <w:r w:rsidRPr="004E3377">
        <w:t xml:space="preserve">Use of the IASC Gender with Age Marker by humanitarian actors in </w:t>
      </w:r>
      <w:proofErr w:type="spellStart"/>
      <w:r w:rsidR="00E03C49">
        <w:t>OPt</w:t>
      </w:r>
      <w:proofErr w:type="spellEnd"/>
      <w:r w:rsidRPr="004E3377">
        <w:t xml:space="preserve"> shows a shift toward delivering aid at new and higher standards.  It is hoped that the support required for its ongoing use in project and program monitoring will be provided.</w:t>
      </w:r>
      <w:r w:rsidR="00E27228">
        <w:t xml:space="preserve">   </w:t>
      </w:r>
      <w:r w:rsidR="004B0BB2">
        <w:t xml:space="preserve">It is intended that ALL projects accepted in the HPC will apply the IASC Gender with Age Marker prior to starting implementation.  </w:t>
      </w:r>
      <w:r w:rsidR="00C36622">
        <w:t xml:space="preserve">Follow-up reports will be provided as more </w:t>
      </w:r>
      <w:proofErr w:type="spellStart"/>
      <w:r w:rsidR="00E03C49">
        <w:t>OPt</w:t>
      </w:r>
      <w:proofErr w:type="spellEnd"/>
      <w:r w:rsidR="00C36622">
        <w:t xml:space="preserve"> actors complete their GAM forms.</w:t>
      </w:r>
      <w:r w:rsidR="0082116D">
        <w:t xml:space="preserve">  Further details (e.g. GAM analysis at agency or cluster level) can be provided on request.</w:t>
      </w:r>
    </w:p>
    <w:sectPr w:rsidR="004B0BB2" w:rsidSect="00E27228">
      <w:footerReference w:type="default" r:id="rId1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405" w:rsidRDefault="00E74405" w:rsidP="00CA4B40">
      <w:pPr>
        <w:spacing w:after="0" w:line="240" w:lineRule="auto"/>
      </w:pPr>
      <w:r>
        <w:separator/>
      </w:r>
    </w:p>
  </w:endnote>
  <w:endnote w:type="continuationSeparator" w:id="0">
    <w:p w:rsidR="00E74405" w:rsidRDefault="00E74405"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405" w:rsidRDefault="00E74405" w:rsidP="00CA4B40">
      <w:pPr>
        <w:spacing w:after="0" w:line="240" w:lineRule="auto"/>
      </w:pPr>
      <w:r>
        <w:separator/>
      </w:r>
    </w:p>
  </w:footnote>
  <w:footnote w:type="continuationSeparator" w:id="0">
    <w:p w:rsidR="00E74405" w:rsidRDefault="00E74405"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A76"/>
    <w:rsid w:val="000175C2"/>
    <w:rsid w:val="00027229"/>
    <w:rsid w:val="00035CA2"/>
    <w:rsid w:val="000429B7"/>
    <w:rsid w:val="000651FB"/>
    <w:rsid w:val="000661F4"/>
    <w:rsid w:val="0007082E"/>
    <w:rsid w:val="00080FE9"/>
    <w:rsid w:val="000A5D31"/>
    <w:rsid w:val="000B4340"/>
    <w:rsid w:val="000B6ABE"/>
    <w:rsid w:val="000C06DA"/>
    <w:rsid w:val="000C2F51"/>
    <w:rsid w:val="000C37C9"/>
    <w:rsid w:val="000D7966"/>
    <w:rsid w:val="000E4111"/>
    <w:rsid w:val="000E4316"/>
    <w:rsid w:val="000F2B5A"/>
    <w:rsid w:val="001264B9"/>
    <w:rsid w:val="00127A79"/>
    <w:rsid w:val="00137C58"/>
    <w:rsid w:val="00140E40"/>
    <w:rsid w:val="00150905"/>
    <w:rsid w:val="00170F9E"/>
    <w:rsid w:val="00182E9D"/>
    <w:rsid w:val="00190304"/>
    <w:rsid w:val="001B3CD5"/>
    <w:rsid w:val="001C31B7"/>
    <w:rsid w:val="001E6121"/>
    <w:rsid w:val="001F515B"/>
    <w:rsid w:val="001F7724"/>
    <w:rsid w:val="002135DD"/>
    <w:rsid w:val="0022790E"/>
    <w:rsid w:val="00241ABA"/>
    <w:rsid w:val="00246F23"/>
    <w:rsid w:val="00252274"/>
    <w:rsid w:val="002531A9"/>
    <w:rsid w:val="00264934"/>
    <w:rsid w:val="002668B4"/>
    <w:rsid w:val="00274107"/>
    <w:rsid w:val="00290F04"/>
    <w:rsid w:val="002A0DED"/>
    <w:rsid w:val="002A7730"/>
    <w:rsid w:val="002C5E53"/>
    <w:rsid w:val="002C6CA5"/>
    <w:rsid w:val="00303AC1"/>
    <w:rsid w:val="00307A59"/>
    <w:rsid w:val="003221EA"/>
    <w:rsid w:val="00354FF1"/>
    <w:rsid w:val="00364C37"/>
    <w:rsid w:val="00370EBA"/>
    <w:rsid w:val="0037530F"/>
    <w:rsid w:val="00376401"/>
    <w:rsid w:val="003B0D50"/>
    <w:rsid w:val="003B69FE"/>
    <w:rsid w:val="003F27BB"/>
    <w:rsid w:val="003F6B87"/>
    <w:rsid w:val="00402D90"/>
    <w:rsid w:val="004068D1"/>
    <w:rsid w:val="00434228"/>
    <w:rsid w:val="00456B3A"/>
    <w:rsid w:val="004573CB"/>
    <w:rsid w:val="004579CF"/>
    <w:rsid w:val="004708F5"/>
    <w:rsid w:val="00471233"/>
    <w:rsid w:val="004A62C0"/>
    <w:rsid w:val="004A7DD5"/>
    <w:rsid w:val="004B0BB2"/>
    <w:rsid w:val="004B37E4"/>
    <w:rsid w:val="004C5CA3"/>
    <w:rsid w:val="004E75CA"/>
    <w:rsid w:val="004F2B41"/>
    <w:rsid w:val="004F4A16"/>
    <w:rsid w:val="00507BF5"/>
    <w:rsid w:val="0053077D"/>
    <w:rsid w:val="005327C5"/>
    <w:rsid w:val="00544E33"/>
    <w:rsid w:val="0055193F"/>
    <w:rsid w:val="00557D42"/>
    <w:rsid w:val="00565FBE"/>
    <w:rsid w:val="00587C2A"/>
    <w:rsid w:val="0059223F"/>
    <w:rsid w:val="005C2CC7"/>
    <w:rsid w:val="005D262A"/>
    <w:rsid w:val="005D7A4D"/>
    <w:rsid w:val="005F7A8B"/>
    <w:rsid w:val="00611D61"/>
    <w:rsid w:val="00615AB7"/>
    <w:rsid w:val="0061690A"/>
    <w:rsid w:val="00621697"/>
    <w:rsid w:val="00621E5A"/>
    <w:rsid w:val="00644329"/>
    <w:rsid w:val="00646872"/>
    <w:rsid w:val="0068281D"/>
    <w:rsid w:val="006837FD"/>
    <w:rsid w:val="00684BEE"/>
    <w:rsid w:val="00693133"/>
    <w:rsid w:val="00695F24"/>
    <w:rsid w:val="006968CA"/>
    <w:rsid w:val="006B63F8"/>
    <w:rsid w:val="006B66B0"/>
    <w:rsid w:val="006C46DE"/>
    <w:rsid w:val="0071360A"/>
    <w:rsid w:val="0072207A"/>
    <w:rsid w:val="00765106"/>
    <w:rsid w:val="00765CD1"/>
    <w:rsid w:val="007856C1"/>
    <w:rsid w:val="007A21B2"/>
    <w:rsid w:val="007C6FD6"/>
    <w:rsid w:val="007E5A8C"/>
    <w:rsid w:val="007E6228"/>
    <w:rsid w:val="0082116D"/>
    <w:rsid w:val="00826221"/>
    <w:rsid w:val="00837928"/>
    <w:rsid w:val="00845B05"/>
    <w:rsid w:val="0088585D"/>
    <w:rsid w:val="008B1242"/>
    <w:rsid w:val="008B1A0A"/>
    <w:rsid w:val="008C28FF"/>
    <w:rsid w:val="008C4576"/>
    <w:rsid w:val="008E2D0E"/>
    <w:rsid w:val="008E50A5"/>
    <w:rsid w:val="008F3083"/>
    <w:rsid w:val="008F3A39"/>
    <w:rsid w:val="008F46FA"/>
    <w:rsid w:val="00900615"/>
    <w:rsid w:val="00914814"/>
    <w:rsid w:val="00914FD8"/>
    <w:rsid w:val="009165A3"/>
    <w:rsid w:val="00926F81"/>
    <w:rsid w:val="009462AC"/>
    <w:rsid w:val="00951F38"/>
    <w:rsid w:val="00981347"/>
    <w:rsid w:val="00981DE5"/>
    <w:rsid w:val="00982D19"/>
    <w:rsid w:val="00984195"/>
    <w:rsid w:val="009A7B75"/>
    <w:rsid w:val="009B26A7"/>
    <w:rsid w:val="009B4403"/>
    <w:rsid w:val="009C0BE6"/>
    <w:rsid w:val="009C0FCC"/>
    <w:rsid w:val="009C2DF1"/>
    <w:rsid w:val="009C707C"/>
    <w:rsid w:val="009E679D"/>
    <w:rsid w:val="009F3B86"/>
    <w:rsid w:val="00A04911"/>
    <w:rsid w:val="00A21DD4"/>
    <w:rsid w:val="00A3710F"/>
    <w:rsid w:val="00A62ACE"/>
    <w:rsid w:val="00A664AB"/>
    <w:rsid w:val="00A736D4"/>
    <w:rsid w:val="00A76E94"/>
    <w:rsid w:val="00A86BEB"/>
    <w:rsid w:val="00AA219E"/>
    <w:rsid w:val="00AA58BB"/>
    <w:rsid w:val="00AB1E3E"/>
    <w:rsid w:val="00AD6122"/>
    <w:rsid w:val="00AF36FE"/>
    <w:rsid w:val="00AF581F"/>
    <w:rsid w:val="00B05BAA"/>
    <w:rsid w:val="00B212FB"/>
    <w:rsid w:val="00B23755"/>
    <w:rsid w:val="00B255C3"/>
    <w:rsid w:val="00B309C5"/>
    <w:rsid w:val="00B30B5B"/>
    <w:rsid w:val="00B85229"/>
    <w:rsid w:val="00BB18C1"/>
    <w:rsid w:val="00BB1ED8"/>
    <w:rsid w:val="00BB331D"/>
    <w:rsid w:val="00BC1309"/>
    <w:rsid w:val="00BC714C"/>
    <w:rsid w:val="00BD1508"/>
    <w:rsid w:val="00BD2321"/>
    <w:rsid w:val="00BF1E4C"/>
    <w:rsid w:val="00C02D26"/>
    <w:rsid w:val="00C04A07"/>
    <w:rsid w:val="00C105A8"/>
    <w:rsid w:val="00C11AD1"/>
    <w:rsid w:val="00C1677C"/>
    <w:rsid w:val="00C273FA"/>
    <w:rsid w:val="00C33961"/>
    <w:rsid w:val="00C36622"/>
    <w:rsid w:val="00C372EC"/>
    <w:rsid w:val="00C4457C"/>
    <w:rsid w:val="00C53FBE"/>
    <w:rsid w:val="00C56F4B"/>
    <w:rsid w:val="00C81E47"/>
    <w:rsid w:val="00C930BD"/>
    <w:rsid w:val="00C9353C"/>
    <w:rsid w:val="00CA4B40"/>
    <w:rsid w:val="00CB071B"/>
    <w:rsid w:val="00CD10FD"/>
    <w:rsid w:val="00CD29B3"/>
    <w:rsid w:val="00CD7CCE"/>
    <w:rsid w:val="00CF39F6"/>
    <w:rsid w:val="00D20291"/>
    <w:rsid w:val="00D4397E"/>
    <w:rsid w:val="00D5197D"/>
    <w:rsid w:val="00D5481A"/>
    <w:rsid w:val="00D6013D"/>
    <w:rsid w:val="00D76AEE"/>
    <w:rsid w:val="00D77612"/>
    <w:rsid w:val="00D837D5"/>
    <w:rsid w:val="00D866A1"/>
    <w:rsid w:val="00DC17AE"/>
    <w:rsid w:val="00DC3E8C"/>
    <w:rsid w:val="00DE1110"/>
    <w:rsid w:val="00DE5A94"/>
    <w:rsid w:val="00DF198A"/>
    <w:rsid w:val="00E03C49"/>
    <w:rsid w:val="00E11695"/>
    <w:rsid w:val="00E2259A"/>
    <w:rsid w:val="00E23444"/>
    <w:rsid w:val="00E27228"/>
    <w:rsid w:val="00E3360B"/>
    <w:rsid w:val="00E504E2"/>
    <w:rsid w:val="00E51055"/>
    <w:rsid w:val="00E55E75"/>
    <w:rsid w:val="00E74205"/>
    <w:rsid w:val="00E74405"/>
    <w:rsid w:val="00E914A3"/>
    <w:rsid w:val="00E92387"/>
    <w:rsid w:val="00EA1B9A"/>
    <w:rsid w:val="00EA49F4"/>
    <w:rsid w:val="00EC172C"/>
    <w:rsid w:val="00EC5766"/>
    <w:rsid w:val="00EE0F64"/>
    <w:rsid w:val="00EF22B0"/>
    <w:rsid w:val="00EF4753"/>
    <w:rsid w:val="00F03F87"/>
    <w:rsid w:val="00F12813"/>
    <w:rsid w:val="00F158AB"/>
    <w:rsid w:val="00F31027"/>
    <w:rsid w:val="00F334CA"/>
    <w:rsid w:val="00F40A01"/>
    <w:rsid w:val="00F40BC0"/>
    <w:rsid w:val="00F414C9"/>
    <w:rsid w:val="00F4750D"/>
    <w:rsid w:val="00F50CEB"/>
    <w:rsid w:val="00F61C27"/>
    <w:rsid w:val="00F75451"/>
    <w:rsid w:val="00F91A45"/>
    <w:rsid w:val="00FB1A1F"/>
    <w:rsid w:val="00FB2B59"/>
    <w:rsid w:val="00FB51F4"/>
    <w:rsid w:val="00FC324E"/>
    <w:rsid w:val="00FD3E3A"/>
    <w:rsid w:val="00FD4269"/>
    <w:rsid w:val="00FE6C48"/>
    <w:rsid w:val="00FF26B1"/>
    <w:rsid w:val="00FF3E56"/>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A94F"/>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BC56-D709-4EAE-9C99-9B82E9D8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43</cp:revision>
  <dcterms:created xsi:type="dcterms:W3CDTF">2019-03-20T17:04:00Z</dcterms:created>
  <dcterms:modified xsi:type="dcterms:W3CDTF">2019-03-21T13:58:00Z</dcterms:modified>
</cp:coreProperties>
</file>