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58A8" w14:textId="56BFB365" w:rsidR="000F067A" w:rsidRDefault="00B660B9" w:rsidP="004E1AED">
      <w:pPr>
        <w:pStyle w:val="Title"/>
        <w:rPr>
          <w:rFonts w:ascii="Garamond" w:hAnsi="Garamond"/>
        </w:rPr>
      </w:pPr>
      <w:r w:rsidRPr="00B660B9">
        <w:rPr>
          <w:rFonts w:ascii="Garamond" w:hAnsi="Garamond"/>
          <w:noProof/>
        </w:rPr>
        <w:drawing>
          <wp:inline distT="0" distB="0" distL="0" distR="0" wp14:anchorId="1352173D" wp14:editId="4F524811">
            <wp:extent cx="4791075" cy="61912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2652" w14:textId="77777777" w:rsidR="000F067A" w:rsidRDefault="000F067A" w:rsidP="004E1AED">
      <w:pPr>
        <w:pStyle w:val="Title"/>
        <w:rPr>
          <w:rFonts w:ascii="Garamond" w:hAnsi="Garamond"/>
        </w:rPr>
      </w:pPr>
    </w:p>
    <w:p w14:paraId="5F64E831" w14:textId="3EDCD7AF" w:rsidR="004E1AED" w:rsidRPr="007221C6" w:rsidRDefault="007000A9" w:rsidP="004E1AED">
      <w:pPr>
        <w:pStyle w:val="Title"/>
        <w:rPr>
          <w:rFonts w:ascii="Arial" w:hAnsi="Arial" w:cs="Arial"/>
          <w:b/>
          <w:bCs/>
          <w:color w:val="659941"/>
          <w:sz w:val="32"/>
          <w:szCs w:val="32"/>
        </w:rPr>
      </w:pPr>
      <w:r w:rsidRPr="007221C6">
        <w:rPr>
          <w:rFonts w:ascii="Arial" w:hAnsi="Arial" w:cs="Arial"/>
          <w:b/>
          <w:bCs/>
          <w:color w:val="659941"/>
          <w:sz w:val="32"/>
          <w:szCs w:val="32"/>
        </w:rPr>
        <w:t>terminología</w:t>
      </w:r>
    </w:p>
    <w:p w14:paraId="02F50DF6" w14:textId="7D93CBC3" w:rsidR="00744191" w:rsidRPr="00B61988" w:rsidRDefault="00744191" w:rsidP="00B61988">
      <w:pPr>
        <w:pStyle w:val="GAMparagraph"/>
      </w:pPr>
      <w:r w:rsidRPr="00B61988">
        <w:rPr>
          <w:b/>
          <w:color w:val="659941"/>
        </w:rPr>
        <w:t xml:space="preserve">Género: </w:t>
      </w:r>
      <w:r w:rsidRPr="00B61988">
        <w:t>Las reglas y las expectativas sociales de la población femenina (mujeres y niñas) y de la población masculina (hombres y niños). Si bien están profundamente arraigadas en cada cultura, son modificabl</w:t>
      </w:r>
      <w:bookmarkStart w:id="0" w:name="_GoBack"/>
      <w:bookmarkEnd w:id="0"/>
      <w:r w:rsidRPr="00B61988">
        <w:t>es en</w:t>
      </w:r>
      <w:r w:rsidR="008E10AB" w:rsidRPr="00B61988">
        <w:t xml:space="preserve"> el tiempo y varían ampliamente</w:t>
      </w:r>
      <w:r w:rsidRPr="00B61988">
        <w:t xml:space="preserve"> tanto dentro como entre culturas. En consecuencia, las necesidades, los roles, las dinámicas y la perspectiva son diferentes para las mujeres y los hombres. (enlace a la planilla Identificación de información)</w:t>
      </w:r>
      <w:r w:rsidR="00B61988" w:rsidRPr="00B61988">
        <w:t>.</w:t>
      </w:r>
    </w:p>
    <w:p w14:paraId="72458C14" w14:textId="29FCF2A6" w:rsidR="007000A9" w:rsidRPr="00B61988" w:rsidRDefault="007000A9" w:rsidP="00B61988">
      <w:pPr>
        <w:pStyle w:val="ListParagraph"/>
        <w:numPr>
          <w:ilvl w:val="0"/>
          <w:numId w:val="19"/>
        </w:numPr>
        <w:ind w:left="274" w:hanging="274"/>
        <w:contextualSpacing w:val="0"/>
        <w:rPr>
          <w:rFonts w:ascii="Arial" w:hAnsi="Arial" w:cs="Arial"/>
          <w:b/>
        </w:rPr>
      </w:pPr>
      <w:r w:rsidRPr="00B61988">
        <w:rPr>
          <w:rFonts w:ascii="Arial" w:hAnsi="Arial" w:cs="Arial"/>
          <w:b/>
          <w:color w:val="659941"/>
        </w:rPr>
        <w:t xml:space="preserve">Edad: </w:t>
      </w:r>
      <w:r w:rsidRPr="00FA7336">
        <w:rPr>
          <w:rStyle w:val="GAMparagraphChar"/>
        </w:rPr>
        <w:t xml:space="preserve">El </w:t>
      </w:r>
      <w:r w:rsidR="00C3379C" w:rsidRPr="00FA7336">
        <w:rPr>
          <w:rStyle w:val="GAMparagraphChar"/>
        </w:rPr>
        <w:t>MGE</w:t>
      </w:r>
      <w:r w:rsidRPr="00FA7336">
        <w:rPr>
          <w:rStyle w:val="GAMparagraphChar"/>
        </w:rPr>
        <w:t xml:space="preserve"> alienta a los usuarios a considerar de qué manera el género es diferente para los diferentes grupos de edad: es decir, profundiza el análisis de género. ¿De qué manera las expectativas sociales difieren entre mujeres y hombres en los diferentes puntos del ciclo de vida? ¿De qué manera la edad afecta el acceso a la asistencia humanitaria de un grupo de género? (enlace a la planilla Identificación de información) Se recomienda a los sectores/grupos que establezcan límites de edad que sean significativos para el área técnica. Las agrupac</w:t>
      </w:r>
      <w:r w:rsidR="008E10AB" w:rsidRPr="00FA7336">
        <w:rPr>
          <w:rStyle w:val="GAMparagraphChar"/>
        </w:rPr>
        <w:t>iones predeterminadas son: niños/as</w:t>
      </w:r>
      <w:r w:rsidRPr="00FA7336">
        <w:rPr>
          <w:rStyle w:val="GAMparagraphChar"/>
        </w:rPr>
        <w:t xml:space="preserve"> pequeños</w:t>
      </w:r>
      <w:r w:rsidR="008E10AB" w:rsidRPr="00FA7336">
        <w:rPr>
          <w:rStyle w:val="GAMparagraphChar"/>
        </w:rPr>
        <w:t>/as</w:t>
      </w:r>
      <w:r w:rsidRPr="00FA7336">
        <w:rPr>
          <w:rStyle w:val="GAMparagraphChar"/>
        </w:rPr>
        <w:t>, niños</w:t>
      </w:r>
      <w:r w:rsidR="008E10AB" w:rsidRPr="00FA7336">
        <w:rPr>
          <w:rStyle w:val="GAMparagraphChar"/>
        </w:rPr>
        <w:t>/as</w:t>
      </w:r>
      <w:r w:rsidRPr="00FA7336">
        <w:rPr>
          <w:rStyle w:val="GAMparagraphChar"/>
        </w:rPr>
        <w:t>, adolescentes, adultos</w:t>
      </w:r>
      <w:r w:rsidR="008E10AB" w:rsidRPr="00FA7336">
        <w:rPr>
          <w:rStyle w:val="GAMparagraphChar"/>
        </w:rPr>
        <w:t>/as</w:t>
      </w:r>
      <w:r w:rsidRPr="00FA7336">
        <w:rPr>
          <w:rStyle w:val="GAMparagraphChar"/>
        </w:rPr>
        <w:t xml:space="preserve"> jóvenes, adultos</w:t>
      </w:r>
      <w:r w:rsidR="008E10AB" w:rsidRPr="00FA7336">
        <w:rPr>
          <w:rStyle w:val="GAMparagraphChar"/>
        </w:rPr>
        <w:t>/as</w:t>
      </w:r>
      <w:r w:rsidRPr="00FA7336">
        <w:rPr>
          <w:rStyle w:val="GAMparagraphChar"/>
        </w:rPr>
        <w:t xml:space="preserve"> de mediana edad y adultos</w:t>
      </w:r>
      <w:r w:rsidR="008E10AB" w:rsidRPr="00FA7336">
        <w:rPr>
          <w:rStyle w:val="GAMparagraphChar"/>
        </w:rPr>
        <w:t>/as</w:t>
      </w:r>
      <w:r w:rsidRPr="00FA7336">
        <w:rPr>
          <w:rStyle w:val="GAMparagraphChar"/>
        </w:rPr>
        <w:t xml:space="preserve"> mayores. Consulte el informe </w:t>
      </w:r>
      <w:proofErr w:type="spellStart"/>
      <w:r w:rsidRPr="0015121A">
        <w:rPr>
          <w:rStyle w:val="GAMparagraphChar"/>
          <w:i/>
          <w:iCs/>
        </w:rPr>
        <w:t>Ageing</w:t>
      </w:r>
      <w:proofErr w:type="spellEnd"/>
      <w:r w:rsidRPr="0015121A">
        <w:rPr>
          <w:rStyle w:val="GAMparagraphChar"/>
          <w:i/>
          <w:iCs/>
        </w:rPr>
        <w:t xml:space="preserve"> in </w:t>
      </w:r>
      <w:proofErr w:type="spellStart"/>
      <w:r w:rsidRPr="0015121A">
        <w:rPr>
          <w:rStyle w:val="GAMparagraphChar"/>
          <w:i/>
          <w:iCs/>
        </w:rPr>
        <w:t>the</w:t>
      </w:r>
      <w:proofErr w:type="spellEnd"/>
      <w:r w:rsidRPr="0015121A">
        <w:rPr>
          <w:rStyle w:val="GAMparagraphChar"/>
          <w:i/>
          <w:iCs/>
        </w:rPr>
        <w:t xml:space="preserve"> </w:t>
      </w:r>
      <w:proofErr w:type="spellStart"/>
      <w:r w:rsidRPr="0015121A">
        <w:rPr>
          <w:rStyle w:val="GAMparagraphChar"/>
          <w:i/>
          <w:iCs/>
        </w:rPr>
        <w:t>Twenty-First</w:t>
      </w:r>
      <w:proofErr w:type="spellEnd"/>
      <w:r w:rsidRPr="0015121A">
        <w:rPr>
          <w:rStyle w:val="GAMparagraphChar"/>
          <w:i/>
          <w:iCs/>
        </w:rPr>
        <w:t xml:space="preserve"> Century</w:t>
      </w:r>
      <w:r w:rsidRPr="00FA7336">
        <w:rPr>
          <w:rStyle w:val="GAMparagraphChar"/>
        </w:rPr>
        <w:t xml:space="preserve"> (Envejecer en el siglo XXI) del UNFPA y el informe de </w:t>
      </w:r>
      <w:proofErr w:type="spellStart"/>
      <w:r w:rsidRPr="00FA7336">
        <w:rPr>
          <w:rStyle w:val="GAMparagraphChar"/>
        </w:rPr>
        <w:t>HelpAge</w:t>
      </w:r>
      <w:proofErr w:type="spellEnd"/>
      <w:r w:rsidRPr="00FA7336">
        <w:rPr>
          <w:rStyle w:val="GAMparagraphChar"/>
        </w:rPr>
        <w:t xml:space="preserve"> International para obtener un análisis más detallado de las definiciones que van más allá de la edad cronológica.</w:t>
      </w:r>
    </w:p>
    <w:p w14:paraId="0C9F7284" w14:textId="3373BD7A" w:rsidR="00F4210A" w:rsidRPr="00B61988" w:rsidRDefault="00F4210A" w:rsidP="00B61988">
      <w:pPr>
        <w:pStyle w:val="ListParagraph"/>
        <w:numPr>
          <w:ilvl w:val="0"/>
          <w:numId w:val="19"/>
        </w:numPr>
        <w:ind w:left="274" w:hanging="274"/>
        <w:contextualSpacing w:val="0"/>
        <w:rPr>
          <w:rFonts w:ascii="Arial" w:hAnsi="Arial" w:cs="Arial"/>
        </w:rPr>
      </w:pPr>
      <w:r w:rsidRPr="00B61988">
        <w:rPr>
          <w:rFonts w:ascii="Arial" w:hAnsi="Arial" w:cs="Arial"/>
          <w:b/>
          <w:color w:val="659941"/>
        </w:rPr>
        <w:t xml:space="preserve">Género diverso: </w:t>
      </w:r>
      <w:r w:rsidRPr="00B61988">
        <w:rPr>
          <w:rStyle w:val="GAMparagraphChar"/>
        </w:rPr>
        <w:t xml:space="preserve">Si bien la ayuda humanitaria a menudo considera a la orientación sexual de la población afectada como heterosexual y a las identidades de género como </w:t>
      </w:r>
      <w:proofErr w:type="spellStart"/>
      <w:r w:rsidRPr="00B61988">
        <w:rPr>
          <w:rStyle w:val="GAMparagraphChar"/>
        </w:rPr>
        <w:t>cisgénero</w:t>
      </w:r>
      <w:proofErr w:type="spellEnd"/>
      <w:r w:rsidRPr="00B61988">
        <w:rPr>
          <w:rStyle w:val="GAMparagraphChar"/>
        </w:rPr>
        <w:t xml:space="preserve">, se han hecho llamamientos para incluir una opción que considere cómo las personas con orientaciones o identidades alternativas quedan excluidas de la asistencia por cuestiones de falta de conformidad con las normas y las reglas de género. El </w:t>
      </w:r>
      <w:r w:rsidR="00C3379C" w:rsidRPr="00B61988">
        <w:rPr>
          <w:rStyle w:val="GAMparagraphChar"/>
        </w:rPr>
        <w:t>MGE</w:t>
      </w:r>
      <w:r w:rsidRPr="00B61988">
        <w:rPr>
          <w:rStyle w:val="GAMparagraphChar"/>
        </w:rPr>
        <w:t xml:space="preserve"> proporciona la opción para que las operaciones y los organismos consideren este espectro (principalmente a las personas lesbianas, gais, bisexuales, transgénero e intersexuales/LGBTI) en su programación.</w:t>
      </w:r>
    </w:p>
    <w:p w14:paraId="28123619" w14:textId="695FDE49" w:rsidR="0055203D" w:rsidRPr="00B61988" w:rsidRDefault="0055203D" w:rsidP="00B61988">
      <w:pPr>
        <w:pStyle w:val="ListParagraph"/>
        <w:numPr>
          <w:ilvl w:val="0"/>
          <w:numId w:val="19"/>
        </w:numPr>
        <w:ind w:left="274" w:hanging="274"/>
        <w:contextualSpacing w:val="0"/>
        <w:rPr>
          <w:rFonts w:ascii="Arial" w:hAnsi="Arial" w:cs="Arial"/>
        </w:rPr>
      </w:pPr>
      <w:r w:rsidRPr="00B61988">
        <w:rPr>
          <w:rFonts w:ascii="Arial" w:hAnsi="Arial" w:cs="Arial"/>
          <w:b/>
          <w:color w:val="659941"/>
        </w:rPr>
        <w:t>Dinámica</w:t>
      </w:r>
      <w:r w:rsidR="008E10AB" w:rsidRPr="00B61988">
        <w:rPr>
          <w:rFonts w:ascii="Arial" w:hAnsi="Arial" w:cs="Arial"/>
          <w:b/>
          <w:color w:val="659941"/>
        </w:rPr>
        <w:t>s</w:t>
      </w:r>
      <w:r w:rsidRPr="00B61988">
        <w:rPr>
          <w:rFonts w:ascii="Arial" w:hAnsi="Arial" w:cs="Arial"/>
          <w:b/>
          <w:color w:val="659941"/>
        </w:rPr>
        <w:t xml:space="preserve"> de género: </w:t>
      </w:r>
      <w:r w:rsidRPr="00B61988">
        <w:rPr>
          <w:rStyle w:val="GAMparagraphChar"/>
        </w:rPr>
        <w:t>La</w:t>
      </w:r>
      <w:r w:rsidR="008E10AB" w:rsidRPr="00B61988">
        <w:rPr>
          <w:rStyle w:val="GAMparagraphChar"/>
        </w:rPr>
        <w:t>s</w:t>
      </w:r>
      <w:r w:rsidRPr="00B61988">
        <w:rPr>
          <w:rStyle w:val="GAMparagraphChar"/>
        </w:rPr>
        <w:t xml:space="preserve"> dinámica</w:t>
      </w:r>
      <w:r w:rsidR="008E10AB" w:rsidRPr="00B61988">
        <w:rPr>
          <w:rStyle w:val="GAMparagraphChar"/>
        </w:rPr>
        <w:t>s</w:t>
      </w:r>
      <w:r w:rsidRPr="00B61988">
        <w:rPr>
          <w:rStyle w:val="GAMparagraphChar"/>
        </w:rPr>
        <w:t xml:space="preserve"> toma</w:t>
      </w:r>
      <w:r w:rsidR="008E10AB" w:rsidRPr="00B61988">
        <w:rPr>
          <w:rStyle w:val="GAMparagraphChar"/>
        </w:rPr>
        <w:t>n</w:t>
      </w:r>
      <w:r w:rsidRPr="00B61988">
        <w:rPr>
          <w:rStyle w:val="GAMparagraphChar"/>
        </w:rPr>
        <w:t xml:space="preserve"> en cuenta la relación entre hombres y mujeres, y entre niños y niñas, y de qué manera sus roles se complementan e influencian mutuamente. Dicho simplemente, se refiere a cómo la población masculina y femenina se ayuda o perjudica una a otra en la obtención de sus derechos y necesidades. La</w:t>
      </w:r>
      <w:r w:rsidR="008E10AB" w:rsidRPr="00B61988">
        <w:rPr>
          <w:rStyle w:val="GAMparagraphChar"/>
        </w:rPr>
        <w:t>s</w:t>
      </w:r>
      <w:r w:rsidRPr="00B61988">
        <w:rPr>
          <w:rStyle w:val="GAMparagraphChar"/>
        </w:rPr>
        <w:t xml:space="preserve"> dinámica</w:t>
      </w:r>
      <w:r w:rsidR="008E10AB" w:rsidRPr="00B61988">
        <w:rPr>
          <w:rStyle w:val="GAMparagraphChar"/>
        </w:rPr>
        <w:t>s</w:t>
      </w:r>
      <w:r w:rsidRPr="00B61988">
        <w:rPr>
          <w:rStyle w:val="GAMparagraphChar"/>
        </w:rPr>
        <w:t xml:space="preserve"> puede</w:t>
      </w:r>
      <w:r w:rsidR="008E10AB" w:rsidRPr="00B61988">
        <w:rPr>
          <w:rStyle w:val="GAMparagraphChar"/>
        </w:rPr>
        <w:t>n</w:t>
      </w:r>
      <w:r w:rsidRPr="00B61988">
        <w:rPr>
          <w:rStyle w:val="GAMparagraphChar"/>
        </w:rPr>
        <w:t xml:space="preserve"> incluir acciones para ayudar a los demás (ejemplo: ayudar a que las niñas vayan a la escuela) o violencia (ejemplo: golpear a la </w:t>
      </w:r>
      <w:r w:rsidR="008E10AB" w:rsidRPr="00B61988">
        <w:rPr>
          <w:rStyle w:val="GAMparagraphChar"/>
        </w:rPr>
        <w:t>pareja</w:t>
      </w:r>
      <w:r w:rsidRPr="00B61988">
        <w:rPr>
          <w:rStyle w:val="GAMparagraphChar"/>
        </w:rPr>
        <w:t>). Esta información es vital para determinar cómo se usarán sus recursos. Esto ayuda a comprender de qué manera modificar situaciones desiguales o injustas.</w:t>
      </w:r>
    </w:p>
    <w:p w14:paraId="5DB21278" w14:textId="4AA01DBA" w:rsidR="0055203D" w:rsidRPr="0015121A" w:rsidRDefault="006F249C" w:rsidP="006536C6">
      <w:pPr>
        <w:pStyle w:val="ListParagraph"/>
        <w:numPr>
          <w:ilvl w:val="0"/>
          <w:numId w:val="19"/>
        </w:numPr>
        <w:ind w:left="274" w:hanging="274"/>
        <w:contextualSpacing w:val="0"/>
        <w:rPr>
          <w:rStyle w:val="GAMparagraphChar"/>
        </w:rPr>
      </w:pPr>
      <w:r w:rsidRPr="00B61988">
        <w:rPr>
          <w:rFonts w:ascii="Arial" w:hAnsi="Arial" w:cs="Arial"/>
          <w:b/>
          <w:color w:val="659941"/>
        </w:rPr>
        <w:t xml:space="preserve">Empoderamiento de las mujeres: </w:t>
      </w:r>
      <w:r w:rsidRPr="0015121A">
        <w:rPr>
          <w:rStyle w:val="GAMparagraphChar"/>
        </w:rPr>
        <w:t xml:space="preserve">El empoderamiento de las mujeres tiene que ver con que las mujeres logren el poder y el control sobre sus propias vidas. Comprende concienciación, desarrollo de la autoconfianza, expansión de elecciones, mayor acceso y control sobre los recursos y acciones para transformar las estructuras y las instituciones que refuerzan y </w:t>
      </w:r>
      <w:r w:rsidRPr="0015121A">
        <w:rPr>
          <w:rStyle w:val="GAMparagraphChar"/>
        </w:rPr>
        <w:lastRenderedPageBreak/>
        <w:t xml:space="preserve">perpetúan la discriminación de género y la desigualdad contra las mujeres. (UN </w:t>
      </w:r>
      <w:proofErr w:type="spellStart"/>
      <w:r w:rsidRPr="0015121A">
        <w:rPr>
          <w:rStyle w:val="GAMparagraphChar"/>
        </w:rPr>
        <w:t>Women</w:t>
      </w:r>
      <w:proofErr w:type="spellEnd"/>
      <w:r w:rsidRPr="0015121A">
        <w:rPr>
          <w:rStyle w:val="GAMparagraphChar"/>
        </w:rPr>
        <w:t xml:space="preserve">, 2001: </w:t>
      </w:r>
      <w:proofErr w:type="spellStart"/>
      <w:r w:rsidRPr="0015121A">
        <w:rPr>
          <w:rStyle w:val="GAMparagraphChar"/>
          <w:i/>
          <w:iCs/>
        </w:rPr>
        <w:t>Important</w:t>
      </w:r>
      <w:proofErr w:type="spellEnd"/>
      <w:r w:rsidRPr="0015121A">
        <w:rPr>
          <w:rStyle w:val="GAMparagraphChar"/>
          <w:i/>
          <w:iCs/>
        </w:rPr>
        <w:t xml:space="preserve"> </w:t>
      </w:r>
      <w:proofErr w:type="spellStart"/>
      <w:r w:rsidRPr="0015121A">
        <w:rPr>
          <w:rStyle w:val="GAMparagraphChar"/>
          <w:i/>
          <w:iCs/>
        </w:rPr>
        <w:t>Concepts</w:t>
      </w:r>
      <w:proofErr w:type="spellEnd"/>
      <w:r w:rsidRPr="0015121A">
        <w:rPr>
          <w:rStyle w:val="GAMparagraphChar"/>
          <w:i/>
          <w:iCs/>
        </w:rPr>
        <w:t xml:space="preserve"> </w:t>
      </w:r>
      <w:proofErr w:type="spellStart"/>
      <w:r w:rsidRPr="0015121A">
        <w:rPr>
          <w:rStyle w:val="GAMparagraphChar"/>
          <w:i/>
          <w:iCs/>
        </w:rPr>
        <w:t>Underlying</w:t>
      </w:r>
      <w:proofErr w:type="spellEnd"/>
      <w:r w:rsidRPr="0015121A">
        <w:rPr>
          <w:rStyle w:val="GAMparagraphChar"/>
          <w:i/>
          <w:iCs/>
        </w:rPr>
        <w:t xml:space="preserve"> </w:t>
      </w:r>
      <w:proofErr w:type="spellStart"/>
      <w:r w:rsidRPr="0015121A">
        <w:rPr>
          <w:rStyle w:val="GAMparagraphChar"/>
          <w:i/>
          <w:iCs/>
        </w:rPr>
        <w:t>Gender</w:t>
      </w:r>
      <w:proofErr w:type="spellEnd"/>
      <w:r w:rsidRPr="0015121A">
        <w:rPr>
          <w:rStyle w:val="GAMparagraphChar"/>
          <w:i/>
          <w:iCs/>
        </w:rPr>
        <w:t xml:space="preserve"> </w:t>
      </w:r>
      <w:proofErr w:type="spellStart"/>
      <w:r w:rsidRPr="0015121A">
        <w:rPr>
          <w:rStyle w:val="GAMparagraphChar"/>
          <w:i/>
          <w:iCs/>
        </w:rPr>
        <w:t>Mainstreaming</w:t>
      </w:r>
      <w:proofErr w:type="spellEnd"/>
      <w:r w:rsidRPr="0015121A">
        <w:rPr>
          <w:rStyle w:val="GAMparagraphChar"/>
        </w:rPr>
        <w:t xml:space="preserve"> [ONU-Mujeres, 2001: Conceptos importantes que subyacen en la incorporación de la perspectiva de género], citado en </w:t>
      </w:r>
      <w:r w:rsidRPr="0015121A">
        <w:rPr>
          <w:rStyle w:val="GAMparagraphChar"/>
          <w:i/>
          <w:iCs/>
        </w:rPr>
        <w:t>The (</w:t>
      </w:r>
      <w:proofErr w:type="spellStart"/>
      <w:r w:rsidRPr="0015121A">
        <w:rPr>
          <w:rStyle w:val="GAMparagraphChar"/>
          <w:i/>
          <w:iCs/>
        </w:rPr>
        <w:t>updated</w:t>
      </w:r>
      <w:proofErr w:type="spellEnd"/>
      <w:r w:rsidRPr="0015121A">
        <w:rPr>
          <w:rStyle w:val="GAMparagraphChar"/>
          <w:i/>
          <w:iCs/>
        </w:rPr>
        <w:t xml:space="preserve">) </w:t>
      </w:r>
      <w:proofErr w:type="spellStart"/>
      <w:r w:rsidRPr="0015121A">
        <w:rPr>
          <w:rStyle w:val="GAMparagraphChar"/>
          <w:i/>
          <w:iCs/>
        </w:rPr>
        <w:t>Gender</w:t>
      </w:r>
      <w:proofErr w:type="spellEnd"/>
      <w:r w:rsidRPr="0015121A">
        <w:rPr>
          <w:rStyle w:val="GAMparagraphChar"/>
          <w:i/>
          <w:iCs/>
        </w:rPr>
        <w:t xml:space="preserve"> </w:t>
      </w:r>
      <w:proofErr w:type="spellStart"/>
      <w:r w:rsidRPr="0015121A">
        <w:rPr>
          <w:rStyle w:val="GAMparagraphChar"/>
          <w:i/>
          <w:iCs/>
        </w:rPr>
        <w:t>Handbook</w:t>
      </w:r>
      <w:proofErr w:type="spellEnd"/>
      <w:r w:rsidRPr="0015121A">
        <w:rPr>
          <w:rStyle w:val="GAMparagraphChar"/>
        </w:rPr>
        <w:t xml:space="preserve"> (Manual sobre cuestiones de género [actualizado]), a publicar. El </w:t>
      </w:r>
      <w:r w:rsidR="00C3379C" w:rsidRPr="0015121A">
        <w:rPr>
          <w:rStyle w:val="GAMparagraphChar"/>
        </w:rPr>
        <w:t>MGE</w:t>
      </w:r>
      <w:r w:rsidRPr="0015121A">
        <w:rPr>
          <w:rStyle w:val="GAMparagraphChar"/>
        </w:rPr>
        <w:t xml:space="preserve"> mide los proyectos de empoderamiento de las mujeres mediante la selección aquellos proyectos incluidos como proyectos de acciones específicas y la búsqueda de proyectos destinados a mujeres y/o que proporcionen asistencia solamente a mujeres.</w:t>
      </w:r>
    </w:p>
    <w:p w14:paraId="137B5C54" w14:textId="1423DAFF" w:rsidR="0055203D" w:rsidRPr="00B61988" w:rsidRDefault="0055203D" w:rsidP="006536C6">
      <w:pPr>
        <w:pStyle w:val="ListParagraph"/>
        <w:numPr>
          <w:ilvl w:val="0"/>
          <w:numId w:val="19"/>
        </w:numPr>
        <w:ind w:left="274" w:hanging="274"/>
        <w:contextualSpacing w:val="0"/>
        <w:rPr>
          <w:rFonts w:ascii="Arial" w:hAnsi="Arial" w:cs="Arial"/>
          <w:b/>
        </w:rPr>
      </w:pPr>
      <w:r w:rsidRPr="00B61988">
        <w:rPr>
          <w:rFonts w:ascii="Arial" w:hAnsi="Arial" w:cs="Arial"/>
          <w:b/>
          <w:color w:val="659941"/>
        </w:rPr>
        <w:t>Acción específica:</w:t>
      </w:r>
      <w:r w:rsidRPr="00B61988">
        <w:rPr>
          <w:rFonts w:ascii="Arial" w:hAnsi="Arial" w:cs="Arial"/>
          <w:color w:val="659941"/>
        </w:rPr>
        <w:t xml:space="preserve"> </w:t>
      </w:r>
      <w:r w:rsidRPr="006536C6">
        <w:rPr>
          <w:rFonts w:ascii="Arial" w:hAnsi="Arial" w:cs="Arial"/>
          <w:color w:val="404040"/>
        </w:rPr>
        <w:t xml:space="preserve">Término reservado para proyectos que se enfocan solamente en abordar las barreras y la discriminación relacionadas con el género. La acción específica puede enfocarse en modificar la discriminación contra mujeres y niñas. La acción específica puede estar enfocada solamente en modificar las expectativas de género que perjudican a hombres y niños. La esencia de la acción específica radica en que dicha acción se toma contra la discriminación y las barreras de género. Esto no debe confundirse con las acciones específicas emprendidas para abordar problemas o barreras en el campo de trabajo técnico. </w:t>
      </w:r>
      <w:r w:rsidRPr="006536C6">
        <w:rPr>
          <w:rFonts w:ascii="Arial" w:hAnsi="Arial" w:cs="Arial"/>
          <w:i/>
          <w:color w:val="404040"/>
        </w:rPr>
        <w:t>(enlace a la planilla Resultados)</w:t>
      </w:r>
    </w:p>
    <w:p w14:paraId="5AF5209E" w14:textId="03DC982A" w:rsidR="00123399" w:rsidRPr="00B61988" w:rsidRDefault="00123399" w:rsidP="006536C6">
      <w:pPr>
        <w:pStyle w:val="ListParagraph"/>
        <w:numPr>
          <w:ilvl w:val="0"/>
          <w:numId w:val="19"/>
        </w:numPr>
        <w:ind w:left="274" w:hanging="274"/>
        <w:contextualSpacing w:val="0"/>
        <w:rPr>
          <w:rFonts w:ascii="Arial" w:hAnsi="Arial" w:cs="Arial"/>
          <w:b/>
        </w:rPr>
      </w:pPr>
      <w:r w:rsidRPr="00B61988">
        <w:rPr>
          <w:rFonts w:ascii="Arial" w:hAnsi="Arial" w:cs="Arial"/>
          <w:b/>
          <w:color w:val="659941"/>
        </w:rPr>
        <w:t xml:space="preserve">Incorporación de la perspectiva de género: </w:t>
      </w:r>
      <w:r w:rsidRPr="00B61988">
        <w:rPr>
          <w:rFonts w:ascii="Arial" w:hAnsi="Arial" w:cs="Arial"/>
        </w:rPr>
        <w:t xml:space="preserve">La incorporación de la perspectiva de género es el proceso de evaluar las distintas necesidades e implicancias para mujeres y hombres de una acción planificada. Es una estrategia para que las inquietudes y las experiencias, tanto de hombres como de mujeres, sean una dimensión integral del diseño, la implementación, la observación y la evaluación del proyecto o programa, a fin de que hombres y mujeres se beneficien equitativamente y no se perpetúe la desigualdad. El objetivo es asegurarse de que exista un acceso justo a la asistencia; el objetivo final es lograr la igualdad de género. </w:t>
      </w:r>
      <w:r w:rsidRPr="006536C6">
        <w:rPr>
          <w:rFonts w:ascii="Arial" w:hAnsi="Arial" w:cs="Arial"/>
          <w:i/>
          <w:color w:val="404040"/>
        </w:rPr>
        <w:t>(enlace a la planilla Identificación de información)</w:t>
      </w:r>
    </w:p>
    <w:p w14:paraId="59768DEC" w14:textId="287E03DD" w:rsidR="00005829" w:rsidRPr="00B61988" w:rsidRDefault="00005829" w:rsidP="006536C6">
      <w:pPr>
        <w:pStyle w:val="ListParagraph"/>
        <w:numPr>
          <w:ilvl w:val="0"/>
          <w:numId w:val="19"/>
        </w:numPr>
        <w:ind w:left="274" w:hanging="274"/>
        <w:contextualSpacing w:val="0"/>
        <w:rPr>
          <w:rFonts w:ascii="Arial" w:hAnsi="Arial" w:cs="Arial"/>
          <w:b/>
        </w:rPr>
      </w:pPr>
      <w:r w:rsidRPr="00B61988">
        <w:rPr>
          <w:rFonts w:ascii="Arial" w:hAnsi="Arial" w:cs="Arial"/>
          <w:b/>
          <w:color w:val="659941"/>
        </w:rPr>
        <w:t>Igualdad de género:</w:t>
      </w:r>
      <w:r w:rsidRPr="00B61988">
        <w:rPr>
          <w:rFonts w:ascii="Arial" w:hAnsi="Arial" w:cs="Arial"/>
          <w:color w:val="659941"/>
        </w:rPr>
        <w:t xml:space="preserve"> </w:t>
      </w:r>
      <w:r w:rsidRPr="006536C6">
        <w:rPr>
          <w:rStyle w:val="GAMparagraphChar"/>
        </w:rPr>
        <w:t>La igualdad de género, o la igualdad entre hombres y mujeres (y entre niñas y niños), se refiere a la igualdad en el goce por parte de mujeres y hombres, niñas y niños, de derechos, oportunidades, recursos y recompensas. El término igualdad no implica que mujeres y hombres, niñas y niños, sean lo mismo; en cambio, se refiere a que el goce de sus derechos, oportunidades y posibilidades de vida no estén regidos o limitados por el hecho de que hayan nacido hombres o mujeres (</w:t>
      </w:r>
      <w:r w:rsidRPr="006536C6">
        <w:rPr>
          <w:rStyle w:val="GAMparagraphChar"/>
          <w:i/>
          <w:iCs/>
        </w:rPr>
        <w:t>Manual sobre cuestiones de género en la acción humanitaria del IASC</w:t>
      </w:r>
      <w:r w:rsidRPr="006536C6">
        <w:rPr>
          <w:rStyle w:val="GAMparagraphChar"/>
        </w:rPr>
        <w:t>, 2006).</w:t>
      </w:r>
    </w:p>
    <w:p w14:paraId="5585E498" w14:textId="5C5E2EDD" w:rsidR="00F4210A" w:rsidRPr="00B61988" w:rsidRDefault="00005829" w:rsidP="006536C6">
      <w:pPr>
        <w:pStyle w:val="ListParagraph"/>
        <w:numPr>
          <w:ilvl w:val="0"/>
          <w:numId w:val="19"/>
        </w:numPr>
        <w:ind w:left="274" w:hanging="274"/>
        <w:contextualSpacing w:val="0"/>
        <w:rPr>
          <w:rFonts w:ascii="Arial" w:hAnsi="Arial" w:cs="Arial"/>
          <w:b/>
        </w:rPr>
      </w:pPr>
      <w:r w:rsidRPr="00B61988">
        <w:rPr>
          <w:rFonts w:ascii="Arial" w:hAnsi="Arial" w:cs="Arial"/>
          <w:b/>
          <w:color w:val="659941"/>
        </w:rPr>
        <w:t xml:space="preserve">Equidad de género: </w:t>
      </w:r>
      <w:r w:rsidRPr="00B61988">
        <w:rPr>
          <w:rFonts w:ascii="Arial" w:hAnsi="Arial" w:cs="Arial"/>
        </w:rPr>
        <w:t xml:space="preserve">Imparcialidad y justicia en la distribución de los beneficios y las responsabilidades entre hombres y mujeres, de acuerdo con sus respectivas necesidades. Se considera parte del </w:t>
      </w:r>
      <w:r w:rsidRPr="006536C6">
        <w:rPr>
          <w:rFonts w:ascii="Arial" w:hAnsi="Arial" w:cs="Arial"/>
          <w:color w:val="404040"/>
        </w:rPr>
        <w:t>proceso de lograr la igualdad de género, y puede incluir igualdad de trato (o trato diferente pero que sea considerado equivalente) en términos de derechos, beneficios, obligaciones y oportunidades. (WHO "</w:t>
      </w:r>
      <w:r w:rsidRPr="006536C6">
        <w:rPr>
          <w:rFonts w:ascii="Arial" w:hAnsi="Arial" w:cs="Arial"/>
          <w:i/>
          <w:color w:val="404040"/>
        </w:rPr>
        <w:t xml:space="preserve">Gender Mainstreaming Strategy" [Estrategia para incorporar la perspectiva de género, </w:t>
      </w:r>
      <w:r w:rsidRPr="006536C6">
        <w:rPr>
          <w:rFonts w:ascii="Arial" w:hAnsi="Arial" w:cs="Arial"/>
          <w:iCs/>
          <w:color w:val="404040"/>
        </w:rPr>
        <w:t>OMS</w:t>
      </w:r>
      <w:r w:rsidRPr="006536C6">
        <w:rPr>
          <w:rFonts w:ascii="Arial" w:hAnsi="Arial" w:cs="Arial"/>
          <w:i/>
          <w:color w:val="404040"/>
        </w:rPr>
        <w:t>]</w:t>
      </w:r>
      <w:r w:rsidRPr="006536C6">
        <w:rPr>
          <w:rFonts w:ascii="Arial" w:hAnsi="Arial" w:cs="Arial"/>
          <w:color w:val="404040"/>
        </w:rPr>
        <w:t xml:space="preserve">, mencionado en </w:t>
      </w:r>
      <w:r w:rsidRPr="006536C6">
        <w:rPr>
          <w:rFonts w:ascii="Arial" w:hAnsi="Arial" w:cs="Arial"/>
          <w:i/>
          <w:color w:val="404040"/>
        </w:rPr>
        <w:t>IASC GBV Guidelines</w:t>
      </w:r>
      <w:r w:rsidRPr="006536C6">
        <w:rPr>
          <w:rFonts w:ascii="Arial" w:hAnsi="Arial" w:cs="Arial"/>
          <w:color w:val="404040"/>
        </w:rPr>
        <w:t xml:space="preserve"> 2015, [Directrices sobre la violencia por razón de género del IASC, 2015]).</w:t>
      </w:r>
    </w:p>
    <w:p w14:paraId="59A308E6" w14:textId="18384319" w:rsidR="00005829" w:rsidRPr="00E35059" w:rsidRDefault="00FF635A" w:rsidP="00E35059">
      <w:pPr>
        <w:pStyle w:val="GAMtitle"/>
      </w:pPr>
      <w:r w:rsidRPr="00E35059">
        <w:t>LAS DEFINICIONES DE LAS MIG</w:t>
      </w:r>
    </w:p>
    <w:p w14:paraId="5EAAD52C" w14:textId="74E5E202" w:rsidR="00B67ECF" w:rsidRPr="00E35059" w:rsidRDefault="00F022B9" w:rsidP="00E35059">
      <w:pPr>
        <w:rPr>
          <w:rFonts w:ascii="Arial" w:hAnsi="Arial" w:cs="Arial"/>
          <w:b/>
          <w:color w:val="404040"/>
        </w:rPr>
      </w:pPr>
      <w:r w:rsidRPr="00B61988">
        <w:rPr>
          <w:rFonts w:ascii="Arial" w:hAnsi="Arial" w:cs="Arial"/>
          <w:b/>
          <w:color w:val="659941"/>
        </w:rPr>
        <w:t>Medidas de igualdad de género (</w:t>
      </w:r>
      <w:r w:rsidR="00C3379C" w:rsidRPr="00B61988">
        <w:rPr>
          <w:rFonts w:ascii="Arial" w:hAnsi="Arial" w:cs="Arial"/>
          <w:b/>
          <w:color w:val="659941"/>
        </w:rPr>
        <w:t>MIG</w:t>
      </w:r>
      <w:r w:rsidRPr="00B61988">
        <w:rPr>
          <w:rFonts w:ascii="Arial" w:hAnsi="Arial" w:cs="Arial"/>
          <w:b/>
          <w:color w:val="659941"/>
        </w:rPr>
        <w:t>):</w:t>
      </w:r>
      <w:r w:rsidRPr="00B61988">
        <w:rPr>
          <w:rFonts w:ascii="Arial" w:hAnsi="Arial" w:cs="Arial"/>
          <w:color w:val="659941"/>
        </w:rPr>
        <w:t xml:space="preserve"> </w:t>
      </w:r>
      <w:r w:rsidRPr="00E35059">
        <w:rPr>
          <w:rFonts w:ascii="Arial" w:hAnsi="Arial" w:cs="Arial"/>
          <w:color w:val="404040"/>
        </w:rPr>
        <w:t xml:space="preserve">Las medidas o las acciones que, cuando se combinan en su conjunto, contribuyen a la igualdad de género, especialmente al acceso justo a los recursos </w:t>
      </w:r>
      <w:r w:rsidRPr="00E35059">
        <w:rPr>
          <w:rFonts w:ascii="Arial" w:hAnsi="Arial" w:cs="Arial"/>
          <w:color w:val="404040"/>
        </w:rPr>
        <w:lastRenderedPageBreak/>
        <w:t xml:space="preserve">humanitarios. Cada </w:t>
      </w:r>
      <w:r w:rsidR="00C3379C" w:rsidRPr="00E35059">
        <w:rPr>
          <w:rFonts w:ascii="Arial" w:hAnsi="Arial" w:cs="Arial"/>
          <w:color w:val="404040"/>
        </w:rPr>
        <w:t>MIG</w:t>
      </w:r>
      <w:r w:rsidRPr="00E35059">
        <w:rPr>
          <w:rFonts w:ascii="Arial" w:hAnsi="Arial" w:cs="Arial"/>
          <w:color w:val="404040"/>
        </w:rPr>
        <w:t xml:space="preserve"> se compone de una acción de programación y grupos de género y edad específicos.</w:t>
      </w:r>
    </w:p>
    <w:p w14:paraId="0DEDA746" w14:textId="02C99E6D" w:rsidR="00B67ECF" w:rsidRPr="00BE2C2F" w:rsidRDefault="00C3379C" w:rsidP="00BE2C2F">
      <w:pPr>
        <w:ind w:left="-14"/>
        <w:rPr>
          <w:rFonts w:ascii="Arial" w:hAnsi="Arial" w:cs="Arial"/>
          <w:b/>
        </w:rPr>
      </w:pPr>
      <w:r w:rsidRPr="00BE2C2F">
        <w:rPr>
          <w:rFonts w:ascii="Arial" w:hAnsi="Arial" w:cs="Arial"/>
          <w:b/>
          <w:color w:val="659941"/>
        </w:rPr>
        <w:t>MIG</w:t>
      </w:r>
      <w:r w:rsidR="00B67ECF" w:rsidRPr="00BE2C2F">
        <w:rPr>
          <w:rFonts w:ascii="Arial" w:hAnsi="Arial" w:cs="Arial"/>
          <w:b/>
          <w:color w:val="659941"/>
        </w:rPr>
        <w:t xml:space="preserve"> A: Análisis de género </w:t>
      </w:r>
      <w:r w:rsidR="00B67ECF" w:rsidRPr="00BE2C2F">
        <w:rPr>
          <w:rFonts w:ascii="Arial" w:hAnsi="Arial" w:cs="Arial"/>
          <w:color w:val="404040"/>
        </w:rPr>
        <w:t>La relación entre mujeres y hombres, y entre niñas y niños en los grupos de edad. Analiza sus necesidades, roles, dinámicas y preferencias. A menudo, este análisis puede incluir el uso de la violencia debido a las expectativas sociales acerca del género (pero no debería limitarse solo a esto).</w:t>
      </w:r>
    </w:p>
    <w:p w14:paraId="5E8C0B2D" w14:textId="79CB3230" w:rsidR="00494E87" w:rsidRPr="00BE2C2F" w:rsidRDefault="00C3379C" w:rsidP="00BE2C2F">
      <w:pPr>
        <w:ind w:left="-14"/>
        <w:rPr>
          <w:rFonts w:ascii="Arial" w:hAnsi="Arial" w:cs="Arial"/>
          <w:b/>
        </w:rPr>
      </w:pPr>
      <w:r w:rsidRPr="00BE2C2F">
        <w:rPr>
          <w:rFonts w:ascii="Arial" w:hAnsi="Arial" w:cs="Arial"/>
          <w:b/>
          <w:color w:val="659941"/>
        </w:rPr>
        <w:t>MIG</w:t>
      </w:r>
      <w:r w:rsidR="00254832" w:rsidRPr="00BE2C2F">
        <w:rPr>
          <w:rFonts w:ascii="Arial" w:hAnsi="Arial" w:cs="Arial"/>
          <w:b/>
          <w:color w:val="659941"/>
        </w:rPr>
        <w:t xml:space="preserve"> B: Recopilar y analizar los datos desglosados por sexo y edad (SADD) </w:t>
      </w:r>
      <w:r w:rsidR="00254832" w:rsidRPr="00BE2C2F">
        <w:rPr>
          <w:rFonts w:ascii="Arial" w:hAnsi="Arial" w:cs="Arial"/>
          <w:color w:val="404040"/>
        </w:rPr>
        <w:t>Los datos sobre necesidades, roles y dinámicas relativas o sobre el acceso a la asistencia están desglosados por sexo y edad. Estos datos pueden ser cualitativos (descripciones) y/o cuantitativos (cifras). Debe haber un uso claro de estos datos en el análisis de la situación que genere sugerencias de acciones específicas.</w:t>
      </w:r>
    </w:p>
    <w:p w14:paraId="13A307E2" w14:textId="40A7DC9B" w:rsidR="00494E87" w:rsidRPr="00BE2C2F" w:rsidRDefault="00C3379C" w:rsidP="00BE2C2F">
      <w:pPr>
        <w:ind w:left="-14"/>
        <w:rPr>
          <w:rFonts w:ascii="Arial" w:hAnsi="Arial" w:cs="Arial"/>
          <w:b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C: Correcta selección de objetivos </w:t>
      </w:r>
      <w:r w:rsidR="00494E87" w:rsidRPr="00BE2C2F">
        <w:rPr>
          <w:rFonts w:ascii="Arial" w:hAnsi="Arial" w:cs="Arial"/>
          <w:color w:val="404040"/>
        </w:rPr>
        <w:t xml:space="preserve">Los proyectos apuntan a brindar asistencia a todos de manera equitativa (acceso universal) o apuntan a grupos específicos debido a necesidades y barreras específicas (a partir del análisis de necesidades). Esta </w:t>
      </w:r>
      <w:r w:rsidRPr="00BE2C2F">
        <w:rPr>
          <w:rFonts w:ascii="Arial" w:hAnsi="Arial" w:cs="Arial"/>
          <w:color w:val="404040"/>
        </w:rPr>
        <w:t>MIG</w:t>
      </w:r>
      <w:r w:rsidR="00494E87" w:rsidRPr="00BE2C2F">
        <w:rPr>
          <w:rFonts w:ascii="Arial" w:hAnsi="Arial" w:cs="Arial"/>
          <w:color w:val="404040"/>
        </w:rPr>
        <w:t xml:space="preserve"> examina si el proyecto es capaz de llegar a los grupos a los que está destinado a llegar. Esto se calcula a partir de la similitud entre las tasas de acceso y las tasas objetivo.</w:t>
      </w:r>
    </w:p>
    <w:p w14:paraId="50E724F8" w14:textId="02C70120" w:rsidR="00494E87" w:rsidRPr="00BE2C2F" w:rsidRDefault="00C3379C" w:rsidP="00BE2C2F">
      <w:pPr>
        <w:ind w:left="-14"/>
        <w:rPr>
          <w:rFonts w:ascii="Arial" w:hAnsi="Arial" w:cs="Arial"/>
          <w:b/>
          <w:color w:val="404040"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D: Actividades adaptadas </w:t>
      </w:r>
      <w:r w:rsidR="00494E87" w:rsidRPr="00BE2C2F">
        <w:rPr>
          <w:rFonts w:ascii="Arial" w:hAnsi="Arial" w:cs="Arial"/>
          <w:color w:val="404040"/>
        </w:rPr>
        <w:t xml:space="preserve">Las actividades y los recursos están personalizados o adaptados de acuerdo con las diferentes necesidades, roles, dinámicas y preferencias de mujeres, niñas, niños y hombres en los diferentes grupos de edad. Esto concuerda con la Norma Humanitaria Básica </w:t>
      </w:r>
      <w:r w:rsidR="00642D9F" w:rsidRPr="00BE2C2F">
        <w:rPr>
          <w:rFonts w:ascii="Arial" w:hAnsi="Arial" w:cs="Arial"/>
          <w:color w:val="404040"/>
        </w:rPr>
        <w:t>“</w:t>
      </w:r>
      <w:r w:rsidR="00494E87" w:rsidRPr="00BE2C2F">
        <w:rPr>
          <w:rFonts w:ascii="Arial" w:hAnsi="Arial" w:cs="Arial"/>
          <w:color w:val="404040"/>
        </w:rPr>
        <w:t>Las comunidades y personas afectadas por crisis humanitarias reciben una ayuda adecuada en relación con sus necesidades</w:t>
      </w:r>
      <w:r w:rsidR="00642D9F" w:rsidRPr="00BE2C2F">
        <w:rPr>
          <w:rFonts w:ascii="Arial" w:hAnsi="Arial" w:cs="Arial"/>
          <w:color w:val="404040"/>
        </w:rPr>
        <w:t>”</w:t>
      </w:r>
      <w:r w:rsidR="00494E87" w:rsidRPr="00BE2C2F">
        <w:rPr>
          <w:rFonts w:ascii="Arial" w:hAnsi="Arial" w:cs="Arial"/>
          <w:color w:val="404040"/>
        </w:rPr>
        <w:t xml:space="preserve">. El Marco de Acción de las </w:t>
      </w:r>
      <w:r w:rsidRPr="00BE2C2F">
        <w:rPr>
          <w:rFonts w:ascii="Arial" w:hAnsi="Arial" w:cs="Arial"/>
          <w:color w:val="404040"/>
        </w:rPr>
        <w:t>MIG</w:t>
      </w:r>
      <w:r w:rsidR="00494E87" w:rsidRPr="00BE2C2F">
        <w:rPr>
          <w:rFonts w:ascii="Arial" w:hAnsi="Arial" w:cs="Arial"/>
          <w:color w:val="404040"/>
        </w:rPr>
        <w:t xml:space="preserve"> hace énfasis en que ni el género ni la edad deben disminuir la idoneidad de la asistencia.</w:t>
      </w:r>
    </w:p>
    <w:p w14:paraId="79F243A1" w14:textId="2782E1CC" w:rsidR="00494E87" w:rsidRPr="00BE2C2F" w:rsidRDefault="00C3379C" w:rsidP="00BE2C2F">
      <w:pPr>
        <w:ind w:left="-14"/>
        <w:rPr>
          <w:rFonts w:ascii="Arial" w:hAnsi="Arial" w:cs="Arial"/>
          <w:b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E: Protección frente a los riesgos de violencia de género </w:t>
      </w:r>
      <w:r w:rsidR="00494E87" w:rsidRPr="00BE2C2F">
        <w:rPr>
          <w:rFonts w:ascii="Arial" w:hAnsi="Arial" w:cs="Arial"/>
          <w:color w:val="404040"/>
        </w:rPr>
        <w:t xml:space="preserve">Existe al menos una actividad, un elemento o un proceso diseñado para reducir los riesgos de sufrir la violencia de género o para abordarla. Esto incluye proyectos que solo trabajan en la reducción del riesgo de sufrir violencia de género o en su abordaje. En otras palabras, prevenir o abordar la violencia de género está incorporado o es el propósito principal. Para obtener más información, consulte el conjunto de instrumentos sobre violencia de género en </w:t>
      </w:r>
      <w:hyperlink r:id="rId13">
        <w:r w:rsidR="00494E87" w:rsidRPr="00515FB0">
          <w:rPr>
            <w:rStyle w:val="GAMhyperlinkChar"/>
          </w:rPr>
          <w:t>www.gbvaor.net</w:t>
        </w:r>
      </w:hyperlink>
      <w:r w:rsidR="00494E87" w:rsidRPr="00BE2C2F">
        <w:rPr>
          <w:rFonts w:ascii="Arial" w:hAnsi="Arial" w:cs="Arial"/>
        </w:rPr>
        <w:t>.</w:t>
      </w:r>
    </w:p>
    <w:p w14:paraId="2C4B33A0" w14:textId="130AB3AC" w:rsidR="00494E87" w:rsidRPr="00BE2C2F" w:rsidRDefault="00C3379C" w:rsidP="00BE2C2F">
      <w:pPr>
        <w:ind w:left="-14"/>
        <w:rPr>
          <w:rFonts w:ascii="Arial" w:hAnsi="Arial" w:cs="Arial"/>
          <w:bCs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F: Coordinación con los actores </w:t>
      </w:r>
      <w:r w:rsidR="00494E87" w:rsidRPr="00BE2C2F">
        <w:rPr>
          <w:rFonts w:ascii="Arial" w:hAnsi="Arial" w:cs="Arial"/>
          <w:color w:val="404040"/>
        </w:rPr>
        <w:t>El organismo comparte su análisis de género, las tasas de acceso y los éxitos y las brechas identificados con los miembros del sector/grupo</w:t>
      </w:r>
      <w:r w:rsidR="00494E87" w:rsidRPr="00BE2C2F">
        <w:rPr>
          <w:rFonts w:ascii="Arial" w:hAnsi="Arial" w:cs="Arial"/>
          <w:b/>
          <w:color w:val="404040"/>
        </w:rPr>
        <w:t xml:space="preserve">. </w:t>
      </w:r>
      <w:r w:rsidR="00494E87" w:rsidRPr="00BE2C2F">
        <w:rPr>
          <w:rFonts w:ascii="Arial" w:hAnsi="Arial" w:cs="Arial"/>
          <w:color w:val="404040"/>
        </w:rPr>
        <w:t xml:space="preserve">Existe colaboración entre sectores/grupos. Esto se relaciona en parte con la Norma Humanitaria Básica </w:t>
      </w:r>
      <w:r w:rsidR="00066446" w:rsidRPr="00BE2C2F">
        <w:rPr>
          <w:rFonts w:ascii="Arial" w:hAnsi="Arial" w:cs="Arial"/>
          <w:color w:val="404040"/>
        </w:rPr>
        <w:t>“</w:t>
      </w:r>
      <w:r w:rsidR="00494E87" w:rsidRPr="00BE2C2F">
        <w:rPr>
          <w:rFonts w:ascii="Arial" w:hAnsi="Arial" w:cs="Arial"/>
          <w:color w:val="404040"/>
        </w:rPr>
        <w:t>Las comunidades y personas afectadas por crisis humanitarias reciben una ayuda adecuada en relación con sus necesidades</w:t>
      </w:r>
      <w:r w:rsidR="00066446" w:rsidRPr="00BE2C2F">
        <w:rPr>
          <w:rFonts w:ascii="Arial" w:hAnsi="Arial" w:cs="Arial"/>
          <w:color w:val="404040"/>
        </w:rPr>
        <w:t>”</w:t>
      </w:r>
      <w:r w:rsidR="00494E87" w:rsidRPr="00BE2C2F">
        <w:rPr>
          <w:rFonts w:ascii="Arial" w:hAnsi="Arial" w:cs="Arial"/>
          <w:color w:val="404040"/>
        </w:rPr>
        <w:t xml:space="preserve">. El Marco de las </w:t>
      </w:r>
      <w:r w:rsidRPr="00BE2C2F">
        <w:rPr>
          <w:rFonts w:ascii="Arial" w:hAnsi="Arial" w:cs="Arial"/>
          <w:color w:val="404040"/>
        </w:rPr>
        <w:t>MIG</w:t>
      </w:r>
      <w:r w:rsidR="00494E87" w:rsidRPr="00BE2C2F">
        <w:rPr>
          <w:rFonts w:ascii="Arial" w:hAnsi="Arial" w:cs="Arial"/>
          <w:color w:val="404040"/>
        </w:rPr>
        <w:t xml:space="preserve"> alienta la colaboración entre grupos y reconoce el rol de los organismos miembro. Para obtener más información, consulte las directrices de coordinación de los Grupos.</w:t>
      </w:r>
    </w:p>
    <w:p w14:paraId="60A64348" w14:textId="77777777" w:rsidR="004D0498" w:rsidRPr="00B67FCC" w:rsidRDefault="00C3379C" w:rsidP="00BE2C2F">
      <w:pPr>
        <w:ind w:left="-14"/>
        <w:rPr>
          <w:rFonts w:ascii="Arial" w:eastAsia="Times New Roman" w:hAnsi="Arial" w:cs="Arial"/>
          <w:color w:val="404040"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G: Influencia en el proyecto </w:t>
      </w:r>
      <w:r w:rsidR="00494E87" w:rsidRPr="00BE2C2F">
        <w:rPr>
          <w:rFonts w:ascii="Arial" w:hAnsi="Arial" w:cs="Arial"/>
          <w:color w:val="404040"/>
        </w:rPr>
        <w:t>Mujeres, niñas, niños y hombres de las edades apropiadas participan en el diseño y la revisión del proyecto, donde se incorporan sus respectivas sugerencias. Las personas afectadas tienen influencia directa sobre las estrategias del proyecto, a través de la evaluación o el análisis de las necesidades, y mediante la revisión del éxito de las estrategias. Se abordan las barreras que afectaron la experiencia de las personas debido a su género y grupo de edad.</w:t>
      </w:r>
      <w:r w:rsidR="00494E87" w:rsidRPr="00BE2C2F">
        <w:rPr>
          <w:rFonts w:ascii="Arial" w:hAnsi="Arial" w:cs="Arial"/>
          <w:color w:val="404040"/>
          <w:sz w:val="18"/>
        </w:rPr>
        <w:t xml:space="preserve"> </w:t>
      </w:r>
      <w:r w:rsidR="00494E87" w:rsidRPr="00BE2C2F">
        <w:rPr>
          <w:rFonts w:ascii="Arial" w:hAnsi="Arial" w:cs="Arial"/>
          <w:color w:val="404040"/>
        </w:rPr>
        <w:t xml:space="preserve">La nota orientativa sobre Protección y rendición de cuentas a las </w:t>
      </w:r>
      <w:r w:rsidR="00494E87" w:rsidRPr="00BE2C2F">
        <w:rPr>
          <w:rFonts w:ascii="Arial" w:hAnsi="Arial" w:cs="Arial"/>
          <w:color w:val="404040"/>
        </w:rPr>
        <w:lastRenderedPageBreak/>
        <w:t xml:space="preserve">poblaciones afectadas en el ciclo de programación humanitaria del IASC (mayo de 2016) brinda orientación sobre los criterios y los pasos a fin de hacer participar a múltiples grupos para que contribuyan al diseño del </w:t>
      </w:r>
      <w:r w:rsidR="00494E87" w:rsidRPr="00CD689F">
        <w:rPr>
          <w:rFonts w:ascii="Arial" w:hAnsi="Arial" w:cs="Arial"/>
          <w:color w:val="404040"/>
        </w:rPr>
        <w:t>proyecto (</w:t>
      </w:r>
      <w:hyperlink r:id="rId14">
        <w:r w:rsidR="00494E87" w:rsidRPr="00CD689F">
          <w:rPr>
            <w:rStyle w:val="GAMhyperlinkChar"/>
          </w:rPr>
          <w:t>https://interagencystandingcommittee.org/system/files/edg_-aap_protection_guidance_note_2016.pdf</w:t>
        </w:r>
      </w:hyperlink>
      <w:r w:rsidR="00494E87" w:rsidRPr="00B67FCC">
        <w:rPr>
          <w:rFonts w:ascii="Arial" w:hAnsi="Arial" w:cs="Arial"/>
          <w:color w:val="404040"/>
        </w:rPr>
        <w:t>)</w:t>
      </w:r>
      <w:r w:rsidR="00CD689F" w:rsidRPr="00B67FCC">
        <w:rPr>
          <w:rFonts w:ascii="Arial" w:hAnsi="Arial" w:cs="Arial"/>
          <w:color w:val="404040"/>
        </w:rPr>
        <w:t>.</w:t>
      </w:r>
    </w:p>
    <w:p w14:paraId="5E9EBFAC" w14:textId="656FFF90" w:rsidR="00494E87" w:rsidRPr="00BE2C2F" w:rsidRDefault="00494E87" w:rsidP="00BE2C2F">
      <w:pPr>
        <w:ind w:left="-14"/>
        <w:rPr>
          <w:rFonts w:ascii="Arial" w:hAnsi="Arial" w:cs="Arial"/>
          <w:b/>
          <w:color w:val="404040"/>
        </w:rPr>
      </w:pPr>
      <w:r w:rsidRPr="00B67FCC">
        <w:rPr>
          <w:rFonts w:ascii="Arial" w:hAnsi="Arial" w:cs="Arial"/>
          <w:color w:val="404040"/>
        </w:rPr>
        <w:t xml:space="preserve">Esta </w:t>
      </w:r>
      <w:r w:rsidR="00C3379C" w:rsidRPr="00B67FCC">
        <w:rPr>
          <w:rFonts w:ascii="Arial" w:hAnsi="Arial" w:cs="Arial"/>
          <w:color w:val="404040"/>
        </w:rPr>
        <w:t>MIG</w:t>
      </w:r>
      <w:r w:rsidRPr="00B67FCC">
        <w:rPr>
          <w:rFonts w:ascii="Arial" w:hAnsi="Arial" w:cs="Arial"/>
          <w:color w:val="404040"/>
        </w:rPr>
        <w:t xml:space="preserve"> es similar al concepto de "participación" que se usó en los compromisos de Asistencia a las Poblaciones Afectadas (AAP). La AAP define la participación de la siguiente manera: </w:t>
      </w:r>
      <w:r w:rsidR="008D6B57" w:rsidRPr="00B67FCC">
        <w:rPr>
          <w:rFonts w:ascii="Arial" w:hAnsi="Arial" w:cs="Arial"/>
          <w:color w:val="404040"/>
        </w:rPr>
        <w:t>“</w:t>
      </w:r>
      <w:r w:rsidRPr="00B67FCC">
        <w:rPr>
          <w:rFonts w:ascii="Arial" w:hAnsi="Arial" w:cs="Arial"/>
          <w:color w:val="404040"/>
        </w:rPr>
        <w:t xml:space="preserve">Permitir que las poblaciones afectadas tengan un rol </w:t>
      </w:r>
      <w:r w:rsidRPr="00BE2C2F">
        <w:rPr>
          <w:rFonts w:ascii="Arial" w:hAnsi="Arial" w:cs="Arial"/>
          <w:color w:val="404040"/>
        </w:rPr>
        <w:t>activo en los procesos de toma de decisiones que los afectan, mediante el establecimiento de directrices y prácticas claras para lograr su participación de manera apropiada y asegurar que los grupos más marginados y afectados estén representados y tengan influencia</w:t>
      </w:r>
      <w:r w:rsidR="008D6B57" w:rsidRPr="00BE2C2F">
        <w:rPr>
          <w:rFonts w:ascii="Arial" w:hAnsi="Arial" w:cs="Arial"/>
          <w:color w:val="404040"/>
        </w:rPr>
        <w:t>”</w:t>
      </w:r>
      <w:r w:rsidRPr="00BE2C2F">
        <w:rPr>
          <w:rFonts w:ascii="Arial" w:hAnsi="Arial" w:cs="Arial"/>
          <w:color w:val="404040"/>
        </w:rPr>
        <w:t xml:space="preserve"> (2011). El Marco las </w:t>
      </w:r>
      <w:r w:rsidR="00C3379C" w:rsidRPr="00BE2C2F">
        <w:rPr>
          <w:rFonts w:ascii="Arial" w:hAnsi="Arial" w:cs="Arial"/>
          <w:color w:val="404040"/>
        </w:rPr>
        <w:t>MIG</w:t>
      </w:r>
      <w:r w:rsidRPr="00BE2C2F">
        <w:rPr>
          <w:rFonts w:ascii="Arial" w:hAnsi="Arial" w:cs="Arial"/>
          <w:color w:val="404040"/>
        </w:rPr>
        <w:t xml:space="preserve"> hace énfasis en asegurar que las mujeres y las niñas de edades apropiadas tengan igualdad de oportunidades para influir en las decisiones acerca de los proyectos al igual que los hombres y los niños, debido a que en los lugares en los que se realiza trabajo humanitario, las reglas y las normas de género les dan a los hombres más influencia sobre las decisiones que se toman.</w:t>
      </w:r>
    </w:p>
    <w:p w14:paraId="69F42CD3" w14:textId="3D748E11" w:rsidR="00A5144B" w:rsidRPr="00BE2C2F" w:rsidRDefault="00C3379C" w:rsidP="00BE2C2F">
      <w:pPr>
        <w:ind w:left="-14"/>
        <w:rPr>
          <w:rFonts w:ascii="Arial" w:eastAsia="Times New Roman" w:hAnsi="Arial" w:cs="Arial"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H: Procesos de presentación de sugerencias y quejas </w:t>
      </w:r>
      <w:r w:rsidR="00494E87" w:rsidRPr="00BE2C2F">
        <w:rPr>
          <w:rFonts w:ascii="Arial" w:hAnsi="Arial" w:cs="Arial"/>
          <w:color w:val="404040"/>
        </w:rPr>
        <w:t xml:space="preserve">Existe un proceso implementado para expresar una queja acerca del proyecto y su personal, que es confidencial y contempla el género y la edad. Se realizan cambios a la forma en que se ofrecen los servicios como resultado de las quejas recibidas. Esta </w:t>
      </w:r>
      <w:r w:rsidRPr="00BE2C2F">
        <w:rPr>
          <w:rFonts w:ascii="Arial" w:hAnsi="Arial" w:cs="Arial"/>
          <w:color w:val="404040"/>
        </w:rPr>
        <w:t>MIG</w:t>
      </w:r>
      <w:r w:rsidR="00494E87" w:rsidRPr="00BE2C2F">
        <w:rPr>
          <w:rFonts w:ascii="Arial" w:hAnsi="Arial" w:cs="Arial"/>
          <w:color w:val="404040"/>
        </w:rPr>
        <w:t xml:space="preserve"> se mide mediante (a) políticas que describen las formas de hacer que el proceso sea seguro y confidencial, y (b) pruebas de que las prácticas han cambiado para responder a las quejas. Para acceder a orientación específica sobre los mecanismos de presentación de quejas basados en la comunidad, consulte </w:t>
      </w:r>
      <w:hyperlink r:id="rId15">
        <w:r w:rsidR="00494E87" w:rsidRPr="00CD689F">
          <w:rPr>
            <w:rStyle w:val="GAMhyperlinkChar"/>
          </w:rPr>
          <w:t>https://interagencystandingcommittee.org/accountability-affected-populations-including-protection-sexual-exploitation-and-abuse/documents-50</w:t>
        </w:r>
      </w:hyperlink>
      <w:r w:rsidR="00494E87" w:rsidRPr="00BE2C2F">
        <w:rPr>
          <w:rFonts w:ascii="Arial" w:hAnsi="Arial" w:cs="Arial"/>
        </w:rPr>
        <w:t>.</w:t>
      </w:r>
    </w:p>
    <w:p w14:paraId="2368FA86" w14:textId="41BCBC33" w:rsidR="00494E87" w:rsidRPr="004D0498" w:rsidRDefault="00A5144B" w:rsidP="00BE2C2F">
      <w:pPr>
        <w:ind w:left="-14"/>
        <w:rPr>
          <w:rFonts w:ascii="Arial" w:hAnsi="Arial" w:cs="Arial"/>
          <w:b/>
          <w:color w:val="404040"/>
        </w:rPr>
      </w:pPr>
      <w:r w:rsidRPr="00515FB0">
        <w:rPr>
          <w:rFonts w:ascii="Arial" w:hAnsi="Arial" w:cs="Arial"/>
          <w:color w:val="404040"/>
        </w:rPr>
        <w:t xml:space="preserve">Esta </w:t>
      </w:r>
      <w:r w:rsidR="00C3379C" w:rsidRPr="00515FB0">
        <w:rPr>
          <w:rFonts w:ascii="Arial" w:hAnsi="Arial" w:cs="Arial"/>
          <w:color w:val="404040"/>
        </w:rPr>
        <w:t>MIG</w:t>
      </w:r>
      <w:r w:rsidRPr="00515FB0">
        <w:rPr>
          <w:rFonts w:ascii="Arial" w:hAnsi="Arial" w:cs="Arial"/>
          <w:color w:val="404040"/>
        </w:rPr>
        <w:t xml:space="preserve"> es similar al concepto de presentación de sugerencias y quejas en la Asistencia a las Poblaciones Afectadas (AAP). La AAP define a la presentación de sugerencias y quejas de la siguiente manera: </w:t>
      </w:r>
      <w:r w:rsidR="008D6B57" w:rsidRPr="00515FB0">
        <w:rPr>
          <w:rFonts w:ascii="Arial" w:hAnsi="Arial" w:cs="Arial"/>
          <w:color w:val="404040"/>
        </w:rPr>
        <w:t>“</w:t>
      </w:r>
      <w:r w:rsidRPr="00515FB0">
        <w:rPr>
          <w:rFonts w:ascii="Arial" w:hAnsi="Arial" w:cs="Arial"/>
          <w:color w:val="404040"/>
        </w:rPr>
        <w:t>Buscar activamente la opinión de las poblaciones afectadas para mejorar las políticas y las prácticas en la programación, al asegurar que los mecanismos de presentación de sugerencias y quejas estén simplificados, sean apropiados y lo suficientemente sólidos como para lidiar con las quejas sobre incumplimientos de la política y el descontento de las partes interesadas</w:t>
      </w:r>
      <w:r w:rsidR="008D6B57" w:rsidRPr="00515FB0">
        <w:rPr>
          <w:rFonts w:ascii="Arial" w:hAnsi="Arial" w:cs="Arial"/>
          <w:color w:val="404040"/>
        </w:rPr>
        <w:t>”</w:t>
      </w:r>
      <w:r w:rsidRPr="00515FB0">
        <w:rPr>
          <w:rFonts w:ascii="Arial" w:hAnsi="Arial" w:cs="Arial"/>
          <w:color w:val="404040"/>
        </w:rPr>
        <w:t xml:space="preserve">. La Norma Humanitaria Básica establece al respecto: </w:t>
      </w:r>
      <w:r w:rsidR="00E53080" w:rsidRPr="00515FB0">
        <w:rPr>
          <w:rFonts w:ascii="Arial" w:hAnsi="Arial" w:cs="Arial"/>
          <w:color w:val="404040"/>
        </w:rPr>
        <w:t>“</w:t>
      </w:r>
      <w:r w:rsidRPr="00515FB0">
        <w:rPr>
          <w:rFonts w:ascii="Arial" w:hAnsi="Arial" w:cs="Arial"/>
          <w:color w:val="404040"/>
        </w:rPr>
        <w:t>Las comunidades y las personas tienen acceso a mecanismos seguros y eficaces para manejar las quejas</w:t>
      </w:r>
      <w:r w:rsidR="00E53080" w:rsidRPr="00515FB0">
        <w:rPr>
          <w:rFonts w:ascii="Arial" w:hAnsi="Arial" w:cs="Arial"/>
          <w:color w:val="404040"/>
        </w:rPr>
        <w:t>”</w:t>
      </w:r>
      <w:r w:rsidRPr="00515FB0">
        <w:rPr>
          <w:rFonts w:ascii="Arial" w:hAnsi="Arial" w:cs="Arial"/>
          <w:color w:val="404040"/>
        </w:rPr>
        <w:t xml:space="preserve">. El Marco de las </w:t>
      </w:r>
      <w:r w:rsidR="00C3379C" w:rsidRPr="00515FB0">
        <w:rPr>
          <w:rFonts w:ascii="Arial" w:hAnsi="Arial" w:cs="Arial"/>
          <w:color w:val="404040"/>
        </w:rPr>
        <w:t>MIG</w:t>
      </w:r>
      <w:r w:rsidRPr="00515FB0">
        <w:rPr>
          <w:rFonts w:ascii="Arial" w:hAnsi="Arial" w:cs="Arial"/>
          <w:color w:val="404040"/>
        </w:rPr>
        <w:t xml:space="preserve"> hace énfasis en que no solo debe haber un mecanismo para la presentación de quejas y sugerencias, sino que deben considerarse las distintas necesidades y preferencias de mujeres, niñas, niños y hombres en los diferentes grupos de edad. La nota orientativa sobre Protección y rendición de cuentas a las poblaciones afectadas en el ciclo de programación humanitaria del IASC (mayo de 2016) brinda orientación sobre los criterios y los pasos para la rendición de cuentas de la ayuda humanitaria (</w:t>
      </w:r>
      <w:hyperlink r:id="rId16">
        <w:r w:rsidRPr="00515FB0">
          <w:rPr>
            <w:rStyle w:val="GAMhyperlinkChar"/>
          </w:rPr>
          <w:t>https://interagencystandingcommittee.org/system/files/edg_-aap_protection_guidance_note_2016.pdf</w:t>
        </w:r>
      </w:hyperlink>
      <w:r w:rsidRPr="004D0498">
        <w:rPr>
          <w:rFonts w:ascii="Arial" w:hAnsi="Arial" w:cs="Arial"/>
          <w:color w:val="404040"/>
        </w:rPr>
        <w:t>).</w:t>
      </w:r>
    </w:p>
    <w:p w14:paraId="384F23A0" w14:textId="7D96FA0E" w:rsidR="00BE2C2F" w:rsidRPr="00B67FCC" w:rsidRDefault="00C3379C" w:rsidP="00B67FCC">
      <w:pPr>
        <w:ind w:left="-13"/>
        <w:rPr>
          <w:rFonts w:ascii="Arial" w:hAnsi="Arial" w:cs="Arial"/>
          <w:color w:val="404040"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I: Transparencia </w:t>
      </w:r>
      <w:r w:rsidR="00494E87" w:rsidRPr="00B67FCC">
        <w:rPr>
          <w:rFonts w:ascii="Arial" w:hAnsi="Arial" w:cs="Arial"/>
          <w:color w:val="404040"/>
        </w:rPr>
        <w:t>El género y la edad influyen en la forma en que las personas acceden a la información:</w:t>
      </w:r>
      <w:r w:rsidR="00494E87" w:rsidRPr="00B67FCC">
        <w:rPr>
          <w:rFonts w:ascii="Arial" w:hAnsi="Arial" w:cs="Arial"/>
          <w:b/>
          <w:color w:val="404040"/>
        </w:rPr>
        <w:t xml:space="preserve"> </w:t>
      </w:r>
      <w:r w:rsidR="00494E87" w:rsidRPr="00B67FCC">
        <w:rPr>
          <w:rFonts w:ascii="Arial" w:hAnsi="Arial" w:cs="Arial"/>
          <w:color w:val="404040"/>
        </w:rPr>
        <w:t xml:space="preserve">no solo influyen en los sitios que tienen probabilidad de ser visitados sino también en qué forma se entrega la información (el acceso a la tecnología, la mensajería cultural y la alfabetización generalmente presentan un sesgo de género). Con el fin de ser transparentes, las estrategias de información varían </w:t>
      </w:r>
      <w:proofErr w:type="gramStart"/>
      <w:r w:rsidR="00494E87" w:rsidRPr="00B67FCC">
        <w:rPr>
          <w:rFonts w:ascii="Arial" w:hAnsi="Arial" w:cs="Arial"/>
          <w:color w:val="404040"/>
        </w:rPr>
        <w:t>de acuerdo al</w:t>
      </w:r>
      <w:proofErr w:type="gramEnd"/>
      <w:r w:rsidR="00494E87" w:rsidRPr="00B67FCC">
        <w:rPr>
          <w:rFonts w:ascii="Arial" w:hAnsi="Arial" w:cs="Arial"/>
          <w:color w:val="404040"/>
        </w:rPr>
        <w:t xml:space="preserve"> género y la edad: el proyecto entrega diferentes </w:t>
      </w:r>
      <w:r w:rsidR="00494E87" w:rsidRPr="00B67FCC">
        <w:rPr>
          <w:rFonts w:ascii="Arial" w:hAnsi="Arial" w:cs="Arial"/>
          <w:color w:val="404040"/>
        </w:rPr>
        <w:lastRenderedPageBreak/>
        <w:t>mensajes a través de diferentes medios, de acuerdo con las necesidades de los diferentes grupos de sexo y edad a los que está destinado el mensaje.</w:t>
      </w:r>
    </w:p>
    <w:p w14:paraId="0AA01ACA" w14:textId="2EE976E3" w:rsidR="00494E87" w:rsidRPr="00B67FCC" w:rsidRDefault="00494E87" w:rsidP="00BE2C2F">
      <w:pPr>
        <w:ind w:left="-13"/>
        <w:rPr>
          <w:rFonts w:ascii="Arial" w:hAnsi="Arial" w:cs="Arial"/>
          <w:bCs/>
          <w:color w:val="404040"/>
        </w:rPr>
      </w:pPr>
      <w:r w:rsidRPr="00B67FCC">
        <w:rPr>
          <w:rFonts w:ascii="Arial" w:hAnsi="Arial" w:cs="Arial"/>
          <w:color w:val="404040"/>
        </w:rPr>
        <w:t xml:space="preserve">Esta </w:t>
      </w:r>
      <w:r w:rsidR="00C3379C" w:rsidRPr="00B67FCC">
        <w:rPr>
          <w:rFonts w:ascii="Arial" w:hAnsi="Arial" w:cs="Arial"/>
          <w:color w:val="404040"/>
        </w:rPr>
        <w:t>MIG</w:t>
      </w:r>
      <w:r w:rsidRPr="00B67FCC">
        <w:rPr>
          <w:rFonts w:ascii="Arial" w:hAnsi="Arial" w:cs="Arial"/>
          <w:color w:val="404040"/>
        </w:rPr>
        <w:t xml:space="preserve"> es similar al concepto de transparencia en la Asistencia a las Poblaciones Afectadas (AAP). La AAP define la transparencia de la siguiente manera: </w:t>
      </w:r>
      <w:r w:rsidR="00390E70" w:rsidRPr="00B67FCC">
        <w:rPr>
          <w:rFonts w:ascii="Arial" w:hAnsi="Arial" w:cs="Arial"/>
          <w:color w:val="404040"/>
        </w:rPr>
        <w:t>“</w:t>
      </w:r>
      <w:r w:rsidRPr="00B67FCC">
        <w:rPr>
          <w:rFonts w:ascii="Arial" w:hAnsi="Arial" w:cs="Arial"/>
          <w:color w:val="404040"/>
        </w:rPr>
        <w:t>Proporcionar información accesible y oportuna a las poblaciones afectadas sobre los procedimientos, las estructuras y los procesos organizativos que los afectan para garantizar que puedan tomar decisiones y hacer elecciones informadas, y facilitar el diálogo entre una organización y sus poblaciones afectadas durante la difusión de la información</w:t>
      </w:r>
      <w:r w:rsidR="00390E70" w:rsidRPr="00B67FCC">
        <w:rPr>
          <w:rFonts w:ascii="Arial" w:hAnsi="Arial" w:cs="Arial"/>
          <w:color w:val="404040"/>
        </w:rPr>
        <w:t>”</w:t>
      </w:r>
      <w:r w:rsidRPr="00B67FCC">
        <w:rPr>
          <w:rFonts w:ascii="Arial" w:hAnsi="Arial" w:cs="Arial"/>
          <w:color w:val="404040"/>
        </w:rPr>
        <w:t xml:space="preserve">. El Marco de las </w:t>
      </w:r>
      <w:r w:rsidR="00C3379C" w:rsidRPr="00B67FCC">
        <w:rPr>
          <w:rFonts w:ascii="Arial" w:hAnsi="Arial" w:cs="Arial"/>
          <w:color w:val="404040"/>
        </w:rPr>
        <w:t>MIG</w:t>
      </w:r>
      <w:r w:rsidRPr="00B67FCC">
        <w:rPr>
          <w:rFonts w:ascii="Arial" w:hAnsi="Arial" w:cs="Arial"/>
          <w:color w:val="404040"/>
        </w:rPr>
        <w:t xml:space="preserve"> hace énfasis en adaptar los procesos de información para que sean coherentes con las necesidades y las preferencias de mujeres, niñas, niños y hombres, en los diferentes grupos de edad.</w:t>
      </w:r>
    </w:p>
    <w:p w14:paraId="4F40B3D2" w14:textId="2403D3EA" w:rsidR="003C6684" w:rsidRPr="00BE2C2F" w:rsidRDefault="00C3379C" w:rsidP="00BE2C2F">
      <w:pPr>
        <w:ind w:left="-13"/>
        <w:rPr>
          <w:rFonts w:ascii="Arial" w:hAnsi="Arial" w:cs="Arial"/>
          <w:bCs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K: Beneficios </w:t>
      </w:r>
      <w:r w:rsidR="00494E87" w:rsidRPr="00B67FCC">
        <w:rPr>
          <w:rFonts w:ascii="Arial" w:hAnsi="Arial" w:cs="Arial"/>
          <w:color w:val="404040"/>
        </w:rPr>
        <w:t xml:space="preserve">Existen distintos beneficios para la población femenina (mujeres y niñas) y para la población masculina (hombres y niños) en diferentes grupos de edad, como resultado de las actividades adaptadas a las diferentes necesidades o barreras. El </w:t>
      </w:r>
      <w:r w:rsidRPr="00B67FCC">
        <w:rPr>
          <w:rFonts w:ascii="Arial" w:hAnsi="Arial" w:cs="Arial"/>
          <w:color w:val="404040"/>
        </w:rPr>
        <w:t>MGE</w:t>
      </w:r>
      <w:r w:rsidR="00494E87" w:rsidRPr="00B67FCC">
        <w:rPr>
          <w:rFonts w:ascii="Arial" w:hAnsi="Arial" w:cs="Arial"/>
          <w:color w:val="404040"/>
        </w:rPr>
        <w:t xml:space="preserve"> alienta al usuario a registrar estos beneficios, como así también a comparar si las mujeres y los hombres, las niñas y los niños se benefician de manera equitativa del proyecto, o en el caso de una acción específica, los beneficios para el (los) grupo(s) destinatario(s) según lo previsto. Estas similitudes con la Norma Humanitaria Básica </w:t>
      </w:r>
      <w:r w:rsidR="00317E4B" w:rsidRPr="00B67FCC">
        <w:rPr>
          <w:rFonts w:ascii="Arial" w:hAnsi="Arial" w:cs="Arial"/>
          <w:color w:val="404040"/>
        </w:rPr>
        <w:t>“</w:t>
      </w:r>
      <w:r w:rsidR="00494E87" w:rsidRPr="00B67FCC">
        <w:rPr>
          <w:rFonts w:ascii="Arial" w:hAnsi="Arial" w:cs="Arial"/>
          <w:color w:val="404040"/>
        </w:rPr>
        <w:t>Las comunidades y las personas afectados por crisis humanitarias tienen acceso a la asistencia humanitaria que necesitan en el momento en que lo necesitan</w:t>
      </w:r>
      <w:r w:rsidR="00317E4B" w:rsidRPr="00B67FCC">
        <w:rPr>
          <w:rFonts w:ascii="Arial" w:hAnsi="Arial" w:cs="Arial"/>
          <w:color w:val="404040"/>
        </w:rPr>
        <w:t>”</w:t>
      </w:r>
      <w:r w:rsidR="00494E87" w:rsidRPr="00B67FCC">
        <w:rPr>
          <w:rFonts w:ascii="Arial" w:hAnsi="Arial" w:cs="Arial"/>
          <w:color w:val="404040"/>
        </w:rPr>
        <w:t>.</w:t>
      </w:r>
      <w:r w:rsidR="00494E87" w:rsidRPr="00B67FCC">
        <w:rPr>
          <w:rFonts w:ascii="Arial" w:hAnsi="Arial" w:cs="Arial"/>
          <w:b/>
          <w:color w:val="404040"/>
        </w:rPr>
        <w:t xml:space="preserve"> </w:t>
      </w:r>
      <w:r w:rsidR="00494E87" w:rsidRPr="00B67FCC">
        <w:rPr>
          <w:rFonts w:ascii="Arial" w:hAnsi="Arial" w:cs="Arial"/>
          <w:color w:val="404040"/>
        </w:rPr>
        <w:t xml:space="preserve">El Marco de las </w:t>
      </w:r>
      <w:r w:rsidRPr="00B67FCC">
        <w:rPr>
          <w:rFonts w:ascii="Arial" w:hAnsi="Arial" w:cs="Arial"/>
          <w:color w:val="404040"/>
        </w:rPr>
        <w:t>MIG</w:t>
      </w:r>
      <w:r w:rsidR="00494E87" w:rsidRPr="00B67FCC">
        <w:rPr>
          <w:rFonts w:ascii="Arial" w:hAnsi="Arial" w:cs="Arial"/>
          <w:color w:val="404040"/>
        </w:rPr>
        <w:t xml:space="preserve"> hace énfasis en que el acceso a la asistencia humanitaria eficaz no se vea afectada por el género ni la edad. Los beneficios relativos para mujeres y hombres, niñas y niños se incluyen a medida que se implementan los proyectos/programas.</w:t>
      </w:r>
    </w:p>
    <w:p w14:paraId="5E5B24D8" w14:textId="41E56FFB" w:rsidR="006A2CB6" w:rsidRPr="00BE2C2F" w:rsidRDefault="00C3379C" w:rsidP="00BE2C2F">
      <w:pPr>
        <w:ind w:left="-13"/>
        <w:rPr>
          <w:rFonts w:ascii="Arial" w:hAnsi="Arial" w:cs="Arial"/>
          <w:b/>
        </w:rPr>
      </w:pPr>
      <w:r w:rsidRPr="00B67FCC">
        <w:rPr>
          <w:rFonts w:ascii="Arial" w:hAnsi="Arial" w:cs="Arial"/>
          <w:b/>
          <w:color w:val="659941"/>
        </w:rPr>
        <w:t>MIG</w:t>
      </w:r>
      <w:r w:rsidR="006A2CB6" w:rsidRPr="00B67FCC">
        <w:rPr>
          <w:rFonts w:ascii="Arial" w:hAnsi="Arial" w:cs="Arial"/>
          <w:b/>
          <w:color w:val="659941"/>
        </w:rPr>
        <w:t xml:space="preserve"> J: </w:t>
      </w:r>
      <w:r w:rsidR="006A2CB6" w:rsidRPr="00B67FCC">
        <w:rPr>
          <w:rFonts w:ascii="Arial" w:hAnsi="Arial" w:cs="Arial"/>
          <w:b/>
          <w:bCs/>
          <w:color w:val="659941"/>
        </w:rPr>
        <w:t>Satisfacción</w:t>
      </w:r>
      <w:r w:rsidR="006A2CB6" w:rsidRPr="00BE2C2F">
        <w:rPr>
          <w:rFonts w:ascii="Arial" w:hAnsi="Arial" w:cs="Arial"/>
          <w:b/>
          <w:color w:val="404040"/>
        </w:rPr>
        <w:t xml:space="preserve"> </w:t>
      </w:r>
      <w:r w:rsidR="006A2CB6" w:rsidRPr="00BE2C2F">
        <w:rPr>
          <w:rFonts w:ascii="Arial" w:hAnsi="Arial" w:cs="Arial"/>
          <w:color w:val="404040"/>
        </w:rPr>
        <w:t xml:space="preserve">El proyecto sondea si las </w:t>
      </w:r>
      <w:r w:rsidR="006A2CB6" w:rsidRPr="00BE2C2F">
        <w:rPr>
          <w:rFonts w:ascii="Arial" w:hAnsi="Arial" w:cs="Arial"/>
          <w:bCs/>
          <w:color w:val="659941"/>
        </w:rPr>
        <w:t>personas afectadas están conformes con la asistencia y la manera en la que se proporcionó</w:t>
      </w:r>
      <w:r w:rsidR="006A2CB6" w:rsidRPr="00BE2C2F">
        <w:rPr>
          <w:rFonts w:ascii="Arial" w:hAnsi="Arial" w:cs="Arial"/>
          <w:color w:val="404040"/>
        </w:rPr>
        <w:t xml:space="preserve">. El </w:t>
      </w:r>
      <w:r w:rsidRPr="00BE2C2F">
        <w:rPr>
          <w:rFonts w:ascii="Arial" w:hAnsi="Arial" w:cs="Arial"/>
          <w:color w:val="404040"/>
        </w:rPr>
        <w:t>MGE</w:t>
      </w:r>
      <w:r w:rsidR="006A2CB6" w:rsidRPr="00BE2C2F">
        <w:rPr>
          <w:rFonts w:ascii="Arial" w:hAnsi="Arial" w:cs="Arial"/>
          <w:color w:val="404040"/>
        </w:rPr>
        <w:t xml:space="preserve"> alienta la comparación de las tasas de satisfacción entre mujeres y hombres, niñas y niños en diferentes grupos de edad.</w:t>
      </w:r>
    </w:p>
    <w:p w14:paraId="6AAD1A1C" w14:textId="5C7CDBBE" w:rsidR="00DB101D" w:rsidRPr="00BE2C2F" w:rsidRDefault="00C3379C" w:rsidP="00BE2C2F">
      <w:pPr>
        <w:ind w:left="-13"/>
        <w:rPr>
          <w:rFonts w:ascii="Arial" w:hAnsi="Arial" w:cs="Arial"/>
          <w:b/>
        </w:rPr>
      </w:pPr>
      <w:r w:rsidRPr="00BE2C2F">
        <w:rPr>
          <w:rFonts w:ascii="Arial" w:hAnsi="Arial" w:cs="Arial"/>
          <w:b/>
          <w:color w:val="659941"/>
        </w:rPr>
        <w:t>MIG</w:t>
      </w:r>
      <w:r w:rsidR="00494E87" w:rsidRPr="00BE2C2F">
        <w:rPr>
          <w:rFonts w:ascii="Arial" w:hAnsi="Arial" w:cs="Arial"/>
          <w:b/>
          <w:color w:val="659941"/>
        </w:rPr>
        <w:t xml:space="preserve"> L: Problemas del proyecto </w:t>
      </w:r>
      <w:r w:rsidR="00494E87" w:rsidRPr="00B67FCC">
        <w:rPr>
          <w:rFonts w:ascii="Arial" w:hAnsi="Arial" w:cs="Arial"/>
          <w:color w:val="404040"/>
        </w:rPr>
        <w:t xml:space="preserve">Pese a los esfuerzos por que los planes sean los mejores, es frecuente que se presenten problemas, y es mejor identificarlos y abordarlos a que se mantengan ocultos. Las barreras o los efectos nocivos y los pasos (planificados) para el cambio están delineados. Estos pasos contemplan las necesidades de la población femenina (mujeres y niñas) y de la población masculina (hombres y niños) de los diferentes grupos de edad. Esto tiene similitudes con la Norma Humanitaria Básica </w:t>
      </w:r>
      <w:r w:rsidR="00A13629" w:rsidRPr="00B67FCC">
        <w:rPr>
          <w:rFonts w:ascii="Arial" w:hAnsi="Arial" w:cs="Arial"/>
          <w:color w:val="404040"/>
        </w:rPr>
        <w:t>“</w:t>
      </w:r>
      <w:r w:rsidR="00494E87" w:rsidRPr="00B67FCC">
        <w:rPr>
          <w:rFonts w:ascii="Arial" w:hAnsi="Arial" w:cs="Arial"/>
          <w:color w:val="404040"/>
        </w:rPr>
        <w:t>Las comunidades y personas afectadas por crisis humanitarias pueden esperar que se les brinde una mejor asistencia, ya que las organizaciones aprenden de la experiencia y la reflexión</w:t>
      </w:r>
      <w:r w:rsidR="00A13629" w:rsidRPr="00B67FCC">
        <w:rPr>
          <w:rFonts w:ascii="Arial" w:hAnsi="Arial" w:cs="Arial"/>
          <w:color w:val="404040"/>
        </w:rPr>
        <w:t>”</w:t>
      </w:r>
      <w:r w:rsidR="00494E87" w:rsidRPr="00B67FCC">
        <w:rPr>
          <w:rFonts w:ascii="Arial" w:hAnsi="Arial" w:cs="Arial"/>
          <w:color w:val="404040"/>
        </w:rPr>
        <w:t xml:space="preserve">. El Marco de las </w:t>
      </w:r>
      <w:r w:rsidRPr="00B67FCC">
        <w:rPr>
          <w:rFonts w:ascii="Arial" w:hAnsi="Arial" w:cs="Arial"/>
          <w:color w:val="404040"/>
        </w:rPr>
        <w:t>MIG</w:t>
      </w:r>
      <w:r w:rsidR="00494E87" w:rsidRPr="00B67FCC">
        <w:rPr>
          <w:rFonts w:ascii="Arial" w:hAnsi="Arial" w:cs="Arial"/>
          <w:color w:val="404040"/>
        </w:rPr>
        <w:t xml:space="preserve"> recomienda examinar los impactos y las barreras diferenciales basadas en el género y la edad.</w:t>
      </w:r>
    </w:p>
    <w:sectPr w:rsidR="00DB101D" w:rsidRPr="00BE2C2F" w:rsidSect="0085283C">
      <w:footerReference w:type="default" r:id="rId17"/>
      <w:pgSz w:w="12240" w:h="15840"/>
      <w:pgMar w:top="1440" w:right="1325" w:bottom="144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D2FA" w14:textId="77777777" w:rsidR="008C5D66" w:rsidRDefault="008C5D66">
      <w:pPr>
        <w:spacing w:after="0" w:line="240" w:lineRule="auto"/>
      </w:pPr>
      <w:r>
        <w:separator/>
      </w:r>
    </w:p>
  </w:endnote>
  <w:endnote w:type="continuationSeparator" w:id="0">
    <w:p w14:paraId="5502B5A5" w14:textId="77777777" w:rsidR="008C5D66" w:rsidRDefault="008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BC0C6" w14:textId="52A05F0B" w:rsidR="00CF6E8D" w:rsidRPr="00ED29BE" w:rsidRDefault="0044198F" w:rsidP="0044198F">
        <w:pPr>
          <w:pStyle w:val="Footer"/>
          <w:tabs>
            <w:tab w:val="right" w:pos="9630"/>
          </w:tabs>
          <w:rPr>
            <w:rFonts w:ascii="Arial" w:hAnsi="Arial" w:cs="Aria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91042C" wp14:editId="5FD235DC">
                  <wp:simplePos x="0" y="0"/>
                  <wp:positionH relativeFrom="margin">
                    <wp:posOffset>-77774</wp:posOffset>
                  </wp:positionH>
                  <wp:positionV relativeFrom="paragraph">
                    <wp:posOffset>-158750</wp:posOffset>
                  </wp:positionV>
                  <wp:extent cx="6313336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1333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B9A0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A43B8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-12.5pt" to="491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" strokecolor="#b9a03d" strokeweight="1pt">
                  <w10:wrap anchorx="margin"/>
                </v:line>
              </w:pict>
            </mc:Fallback>
          </mc:AlternateContent>
        </w:r>
        <w:r w:rsidR="00ED29BE" w:rsidRPr="00ED29BE">
          <w:rPr>
            <w:rFonts w:ascii="Arial" w:hAnsi="Arial" w:cs="Arial"/>
            <w:color w:val="4D4D4C"/>
            <w:sz w:val="16"/>
          </w:rPr>
          <w:t>Fecha de creación: 21 de junio de 2018</w:t>
        </w:r>
        <w:r>
          <w:rPr>
            <w:rFonts w:ascii="Arial" w:hAnsi="Arial" w:cs="Arial"/>
            <w:color w:val="4D4D4C"/>
            <w:sz w:val="16"/>
          </w:rPr>
          <w:t xml:space="preserve">     </w:t>
        </w:r>
        <w:r w:rsidR="00ED29BE" w:rsidRPr="00ED29BE">
          <w:rPr>
            <w:rFonts w:ascii="Arial" w:hAnsi="Arial" w:cs="Arial"/>
            <w:color w:val="4D4D4C"/>
            <w:sz w:val="16"/>
          </w:rPr>
          <w:t xml:space="preserve">Fuentes: IASC </w:t>
        </w:r>
        <w:proofErr w:type="spellStart"/>
        <w:r w:rsidR="00ED29BE" w:rsidRPr="00ED29BE">
          <w:rPr>
            <w:rFonts w:ascii="Arial" w:hAnsi="Arial" w:cs="Arial"/>
            <w:color w:val="4D4D4C"/>
            <w:sz w:val="16"/>
          </w:rPr>
          <w:t>GenCap</w:t>
        </w:r>
        <w:proofErr w:type="spellEnd"/>
        <w:r>
          <w:rPr>
            <w:rFonts w:ascii="Arial" w:hAnsi="Arial" w:cs="Arial"/>
            <w:color w:val="4D4D4C"/>
            <w:sz w:val="16"/>
          </w:rPr>
          <w:t xml:space="preserve">     </w:t>
        </w:r>
        <w:r w:rsidR="00ED29BE" w:rsidRPr="00ED29BE">
          <w:rPr>
            <w:rFonts w:ascii="Arial" w:hAnsi="Arial" w:cs="Arial"/>
            <w:color w:val="4D4D4C"/>
            <w:sz w:val="16"/>
          </w:rPr>
          <w:t xml:space="preserve">Contacto: </w:t>
        </w:r>
        <w:hyperlink r:id="rId1" w:history="1">
          <w:r w:rsidRPr="0044198F">
            <w:rPr>
              <w:rStyle w:val="Hyperlink"/>
              <w:rFonts w:ascii="Arial" w:hAnsi="Arial" w:cs="Arial"/>
              <w:color w:val="659941"/>
              <w:sz w:val="16"/>
              <w:u w:val="none"/>
            </w:rPr>
            <w:t>IASC-gam@un.org</w:t>
          </w:r>
        </w:hyperlink>
        <w:r w:rsidR="00ED29BE" w:rsidRPr="00ED29BE">
          <w:rPr>
            <w:rFonts w:ascii="Arial" w:hAnsi="Arial" w:cs="Arial"/>
            <w:color w:val="4D4D4C"/>
            <w:sz w:val="16"/>
          </w:rPr>
          <w:t xml:space="preserve"> </w:t>
        </w:r>
        <w:r>
          <w:rPr>
            <w:rFonts w:ascii="Arial" w:hAnsi="Arial" w:cs="Arial"/>
            <w:color w:val="4D4D4C"/>
            <w:sz w:val="16"/>
          </w:rPr>
          <w:tab/>
        </w:r>
        <w:r w:rsidR="00CF6E8D" w:rsidRPr="0044198F">
          <w:rPr>
            <w:rFonts w:ascii="Arial" w:hAnsi="Arial" w:cs="Arial"/>
            <w:color w:val="404040"/>
            <w:sz w:val="18"/>
            <w:szCs w:val="18"/>
          </w:rPr>
          <w:fldChar w:fldCharType="begin"/>
        </w:r>
        <w:r w:rsidR="00CF6E8D" w:rsidRPr="0044198F">
          <w:rPr>
            <w:rFonts w:ascii="Arial" w:hAnsi="Arial" w:cs="Arial"/>
            <w:color w:val="404040"/>
            <w:sz w:val="18"/>
            <w:szCs w:val="18"/>
          </w:rPr>
          <w:instrText xml:space="preserve"> PAGE   \* MERGEFORMAT </w:instrText>
        </w:r>
        <w:r w:rsidR="00CF6E8D" w:rsidRPr="0044198F">
          <w:rPr>
            <w:rFonts w:ascii="Arial" w:hAnsi="Arial" w:cs="Arial"/>
            <w:color w:val="404040"/>
            <w:sz w:val="18"/>
            <w:szCs w:val="18"/>
          </w:rPr>
          <w:fldChar w:fldCharType="separate"/>
        </w:r>
        <w:r w:rsidR="008E10AB" w:rsidRPr="0044198F">
          <w:rPr>
            <w:rFonts w:ascii="Arial" w:hAnsi="Arial" w:cs="Arial"/>
            <w:noProof/>
            <w:color w:val="404040"/>
            <w:sz w:val="18"/>
            <w:szCs w:val="18"/>
          </w:rPr>
          <w:t>4</w:t>
        </w:r>
        <w:r w:rsidR="00CF6E8D" w:rsidRPr="0044198F">
          <w:rPr>
            <w:rFonts w:ascii="Arial" w:hAnsi="Arial" w:cs="Arial"/>
            <w:noProof/>
            <w:color w:val="40404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0DAB" w14:textId="77777777" w:rsidR="008C5D66" w:rsidRDefault="008C5D66">
      <w:pPr>
        <w:spacing w:after="0" w:line="240" w:lineRule="auto"/>
      </w:pPr>
      <w:r>
        <w:separator/>
      </w:r>
    </w:p>
  </w:footnote>
  <w:footnote w:type="continuationSeparator" w:id="0">
    <w:p w14:paraId="5DF5D4F5" w14:textId="77777777" w:rsidR="008C5D66" w:rsidRDefault="008C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7DE8"/>
    <w:multiLevelType w:val="hybridMultilevel"/>
    <w:tmpl w:val="E80A5D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D3D7F"/>
    <w:multiLevelType w:val="hybridMultilevel"/>
    <w:tmpl w:val="D58ACC14"/>
    <w:lvl w:ilvl="0" w:tplc="D27457A0">
      <w:start w:val="1"/>
      <w:numFmt w:val="decimal"/>
      <w:pStyle w:val="GAMparagraph"/>
      <w:lvlText w:val="%1."/>
      <w:lvlJc w:val="left"/>
      <w:pPr>
        <w:ind w:left="643" w:hanging="360"/>
      </w:pPr>
      <w:rPr>
        <w:rFonts w:ascii="Arial" w:hAnsi="Arial" w:cs="Arial" w:hint="default"/>
        <w:b/>
        <w:bCs/>
        <w:iCs w:val="0"/>
        <w:color w:val="659941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635CE"/>
    <w:multiLevelType w:val="hybridMultilevel"/>
    <w:tmpl w:val="A0021270"/>
    <w:lvl w:ilvl="0" w:tplc="08090017">
      <w:start w:val="1"/>
      <w:numFmt w:val="lowerLetter"/>
      <w:lvlText w:val="%1)"/>
      <w:lvlJc w:val="left"/>
      <w:pPr>
        <w:ind w:left="643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D6925"/>
    <w:multiLevelType w:val="hybridMultilevel"/>
    <w:tmpl w:val="DB40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D306DC4"/>
    <w:multiLevelType w:val="hybridMultilevel"/>
    <w:tmpl w:val="786ADF1A"/>
    <w:lvl w:ilvl="0" w:tplc="33EA14C4">
      <w:start w:val="1"/>
      <w:numFmt w:val="lowerLetter"/>
      <w:lvlText w:val="%1)"/>
      <w:lvlJc w:val="left"/>
      <w:pPr>
        <w:ind w:left="643" w:hanging="360"/>
      </w:pPr>
      <w:rPr>
        <w:rFonts w:cs="Arial" w:hint="default"/>
        <w:b/>
        <w:bCs/>
        <w:iCs w:val="0"/>
        <w:color w:val="659941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3"/>
  </w:num>
  <w:num w:numId="5">
    <w:abstractNumId w:val="19"/>
  </w:num>
  <w:num w:numId="6">
    <w:abstractNumId w:val="20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7"/>
  </w:num>
  <w:num w:numId="21">
    <w:abstractNumId w:val="1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A9"/>
    <w:rsid w:val="00005829"/>
    <w:rsid w:val="00066446"/>
    <w:rsid w:val="00067848"/>
    <w:rsid w:val="00083E47"/>
    <w:rsid w:val="000F067A"/>
    <w:rsid w:val="0012019D"/>
    <w:rsid w:val="00123399"/>
    <w:rsid w:val="0015121A"/>
    <w:rsid w:val="00194DF6"/>
    <w:rsid w:val="0020707C"/>
    <w:rsid w:val="00254832"/>
    <w:rsid w:val="00281006"/>
    <w:rsid w:val="00286A84"/>
    <w:rsid w:val="002964A2"/>
    <w:rsid w:val="003021C3"/>
    <w:rsid w:val="0031255C"/>
    <w:rsid w:val="00317E4B"/>
    <w:rsid w:val="00377168"/>
    <w:rsid w:val="00390E70"/>
    <w:rsid w:val="003C6684"/>
    <w:rsid w:val="003C7B73"/>
    <w:rsid w:val="003D3A60"/>
    <w:rsid w:val="00413344"/>
    <w:rsid w:val="004345F9"/>
    <w:rsid w:val="0044198F"/>
    <w:rsid w:val="0046368D"/>
    <w:rsid w:val="00477CB7"/>
    <w:rsid w:val="00494E87"/>
    <w:rsid w:val="004C4D68"/>
    <w:rsid w:val="004D0498"/>
    <w:rsid w:val="004E1AED"/>
    <w:rsid w:val="004F5FAC"/>
    <w:rsid w:val="00503DCA"/>
    <w:rsid w:val="00515FB0"/>
    <w:rsid w:val="00522AE9"/>
    <w:rsid w:val="0055203D"/>
    <w:rsid w:val="00583C56"/>
    <w:rsid w:val="005B1DD6"/>
    <w:rsid w:val="005B7223"/>
    <w:rsid w:val="005C12A5"/>
    <w:rsid w:val="005D4910"/>
    <w:rsid w:val="00642D9F"/>
    <w:rsid w:val="006536C6"/>
    <w:rsid w:val="00665853"/>
    <w:rsid w:val="00666DE5"/>
    <w:rsid w:val="00686A97"/>
    <w:rsid w:val="006A2CB6"/>
    <w:rsid w:val="006B170D"/>
    <w:rsid w:val="006F249C"/>
    <w:rsid w:val="007000A9"/>
    <w:rsid w:val="007043DF"/>
    <w:rsid w:val="007221C6"/>
    <w:rsid w:val="00735609"/>
    <w:rsid w:val="00744191"/>
    <w:rsid w:val="007A0901"/>
    <w:rsid w:val="00803CB7"/>
    <w:rsid w:val="00804336"/>
    <w:rsid w:val="0080484E"/>
    <w:rsid w:val="008243B1"/>
    <w:rsid w:val="0085283C"/>
    <w:rsid w:val="008B4BAB"/>
    <w:rsid w:val="008C2E07"/>
    <w:rsid w:val="008C5D66"/>
    <w:rsid w:val="008D6B57"/>
    <w:rsid w:val="008E10AB"/>
    <w:rsid w:val="00903EC4"/>
    <w:rsid w:val="00985354"/>
    <w:rsid w:val="009856D5"/>
    <w:rsid w:val="00985CA0"/>
    <w:rsid w:val="009A75FA"/>
    <w:rsid w:val="009D2C80"/>
    <w:rsid w:val="009E547F"/>
    <w:rsid w:val="00A1310C"/>
    <w:rsid w:val="00A13629"/>
    <w:rsid w:val="00A16234"/>
    <w:rsid w:val="00A5144B"/>
    <w:rsid w:val="00AD1738"/>
    <w:rsid w:val="00B61988"/>
    <w:rsid w:val="00B660B9"/>
    <w:rsid w:val="00B67ECF"/>
    <w:rsid w:val="00B67FCC"/>
    <w:rsid w:val="00BE2C2F"/>
    <w:rsid w:val="00BE4265"/>
    <w:rsid w:val="00C3379C"/>
    <w:rsid w:val="00C35115"/>
    <w:rsid w:val="00C6756C"/>
    <w:rsid w:val="00C723AD"/>
    <w:rsid w:val="00CD689F"/>
    <w:rsid w:val="00CF6E8D"/>
    <w:rsid w:val="00D01BDB"/>
    <w:rsid w:val="00D05FBA"/>
    <w:rsid w:val="00D47A97"/>
    <w:rsid w:val="00D56A3E"/>
    <w:rsid w:val="00DB101D"/>
    <w:rsid w:val="00DB5292"/>
    <w:rsid w:val="00E35059"/>
    <w:rsid w:val="00E53080"/>
    <w:rsid w:val="00EA7574"/>
    <w:rsid w:val="00EC34EF"/>
    <w:rsid w:val="00ED29BE"/>
    <w:rsid w:val="00F022B9"/>
    <w:rsid w:val="00F14123"/>
    <w:rsid w:val="00F22ECA"/>
    <w:rsid w:val="00F2725E"/>
    <w:rsid w:val="00F4210A"/>
    <w:rsid w:val="00FA7336"/>
    <w:rsid w:val="00FE2E9B"/>
    <w:rsid w:val="00FF635A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C3A5B"/>
  <w15:docId w15:val="{722ACD7F-26EC-49BE-BF05-86C9185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link w:val="ListParagraphChar"/>
    <w:uiPriority w:val="34"/>
    <w:unhideWhenUsed/>
    <w:qFormat/>
    <w:rsid w:val="00700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73"/>
    <w:rPr>
      <w:color w:val="005DBA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E2E9B"/>
    <w:rPr>
      <w:vertAlign w:val="superscript"/>
    </w:rPr>
  </w:style>
  <w:style w:type="paragraph" w:customStyle="1" w:styleId="GAMparagraph">
    <w:name w:val="GAM paragraph"/>
    <w:basedOn w:val="ListParagraph"/>
    <w:link w:val="GAMparagraphChar"/>
    <w:qFormat/>
    <w:rsid w:val="00B61988"/>
    <w:pPr>
      <w:numPr>
        <w:numId w:val="19"/>
      </w:numPr>
      <w:spacing w:after="240"/>
      <w:ind w:left="274" w:hanging="274"/>
      <w:contextualSpacing w:val="0"/>
    </w:pPr>
    <w:rPr>
      <w:rFonts w:ascii="Arial" w:hAnsi="Arial" w:cs="Arial"/>
      <w:color w:val="404040"/>
    </w:rPr>
  </w:style>
  <w:style w:type="paragraph" w:customStyle="1" w:styleId="GAMtitle">
    <w:name w:val="GAM title"/>
    <w:basedOn w:val="Normal"/>
    <w:link w:val="GAMtitleChar"/>
    <w:qFormat/>
    <w:rsid w:val="00E35059"/>
    <w:pPr>
      <w:spacing w:before="360"/>
    </w:pPr>
    <w:rPr>
      <w:rFonts w:ascii="Arial" w:hAnsi="Arial" w:cs="Arial"/>
      <w:b/>
      <w:color w:val="65994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1988"/>
  </w:style>
  <w:style w:type="character" w:customStyle="1" w:styleId="GAMparagraphChar">
    <w:name w:val="GAM paragraph Char"/>
    <w:basedOn w:val="ListParagraphChar"/>
    <w:link w:val="GAMparagraph"/>
    <w:rsid w:val="00B61988"/>
    <w:rPr>
      <w:rFonts w:ascii="Arial" w:hAnsi="Arial" w:cs="Arial"/>
      <w:color w:val="404040"/>
    </w:rPr>
  </w:style>
  <w:style w:type="paragraph" w:customStyle="1" w:styleId="GAMhyperlink">
    <w:name w:val="GAM hyperlink"/>
    <w:basedOn w:val="Normal"/>
    <w:link w:val="GAMhyperlinkChar"/>
    <w:qFormat/>
    <w:rsid w:val="00515FB0"/>
    <w:pPr>
      <w:ind w:left="-14"/>
    </w:pPr>
    <w:rPr>
      <w:rFonts w:ascii="Arial" w:hAnsi="Arial" w:cs="Arial"/>
      <w:color w:val="659941"/>
    </w:rPr>
  </w:style>
  <w:style w:type="character" w:customStyle="1" w:styleId="GAMtitleChar">
    <w:name w:val="GAM title Char"/>
    <w:basedOn w:val="DefaultParagraphFont"/>
    <w:link w:val="GAMtitle"/>
    <w:rsid w:val="00E35059"/>
    <w:rPr>
      <w:rFonts w:ascii="Arial" w:hAnsi="Arial" w:cs="Arial"/>
      <w:b/>
      <w:color w:val="65994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198F"/>
    <w:rPr>
      <w:color w:val="605E5C"/>
      <w:shd w:val="clear" w:color="auto" w:fill="E1DFDD"/>
    </w:rPr>
  </w:style>
  <w:style w:type="character" w:customStyle="1" w:styleId="GAMhyperlinkChar">
    <w:name w:val="GAM hyperlink Char"/>
    <w:basedOn w:val="DefaultParagraphFont"/>
    <w:link w:val="GAMhyperlink"/>
    <w:rsid w:val="00515FB0"/>
    <w:rPr>
      <w:rFonts w:ascii="Arial" w:hAnsi="Arial" w:cs="Arial"/>
      <w:color w:val="6599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bvaor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agencystandingcommittee.org/system/files/edg_-aap_protection_guidance_note_201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nteragencystandingcommittee.org/accountability-affected-populations-including-protection-sexual-exploitation-and-abuse/documents-5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agencystandingcommittee.org/system/files/edg_-aap_protection_guidance_note_201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A9293-7993-4B86-9C49-2301970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115</TotalTime>
  <Pages>5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</dc:creator>
  <cp:lastModifiedBy>Paolo Palmero</cp:lastModifiedBy>
  <cp:revision>21</cp:revision>
  <dcterms:created xsi:type="dcterms:W3CDTF">2019-08-21T21:26:00Z</dcterms:created>
  <dcterms:modified xsi:type="dcterms:W3CDTF">2019-08-22T15:42:00Z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