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F6037" w14:textId="77777777" w:rsidR="00843CCF" w:rsidRDefault="00843CCF" w:rsidP="002444B3">
      <w:pPr>
        <w:spacing w:after="120" w:line="240" w:lineRule="auto"/>
        <w:contextualSpacing/>
        <w:jc w:val="center"/>
        <w:rPr>
          <w:rFonts w:ascii="Calibri" w:hAnsi="Calibri" w:cs="Calibri"/>
          <w:b/>
          <w:color w:val="000000"/>
          <w:sz w:val="24"/>
          <w:szCs w:val="24"/>
        </w:rPr>
      </w:pPr>
    </w:p>
    <w:p w14:paraId="0F089974" w14:textId="77777777" w:rsidR="00843CCF" w:rsidRDefault="00146F46" w:rsidP="002444B3">
      <w:pPr>
        <w:spacing w:after="120" w:line="240" w:lineRule="auto"/>
        <w:contextualSpacing/>
        <w:jc w:val="center"/>
        <w:rPr>
          <w:rFonts w:ascii="Calibri" w:hAnsi="Calibri" w:cs="Calibri"/>
          <w:b/>
          <w:color w:val="000000"/>
          <w:sz w:val="24"/>
          <w:szCs w:val="24"/>
        </w:rPr>
      </w:pPr>
      <w:r>
        <w:rPr>
          <w:rFonts w:ascii="Calibri" w:hAnsi="Calibri"/>
          <w:b/>
          <w:color w:val="000000"/>
          <w:sz w:val="24"/>
        </w:rPr>
        <w:t xml:space="preserve">Medidas de igualdad de género en  </w:t>
      </w:r>
    </w:p>
    <w:p w14:paraId="5E02F821" w14:textId="2AA59C85" w:rsidR="00A42F12" w:rsidRPr="008C4DF3" w:rsidRDefault="00146F46" w:rsidP="008C4DF3">
      <w:pPr>
        <w:spacing w:after="120" w:line="240" w:lineRule="auto"/>
        <w:contextualSpacing/>
        <w:jc w:val="center"/>
        <w:rPr>
          <w:rFonts w:ascii="Calibri" w:hAnsi="Calibri" w:cs="Calibri"/>
          <w:b/>
          <w:color w:val="000000"/>
          <w:sz w:val="24"/>
          <w:szCs w:val="24"/>
        </w:rPr>
      </w:pPr>
      <w:r>
        <w:rPr>
          <w:rFonts w:ascii="Calibri" w:hAnsi="Calibri"/>
          <w:b/>
          <w:color w:val="000000"/>
          <w:sz w:val="24"/>
        </w:rPr>
        <w:t>intervenciones específicas a la discapacidad</w:t>
      </w:r>
    </w:p>
    <w:p w14:paraId="760BCBDA" w14:textId="713F496C" w:rsidR="00146F46" w:rsidRPr="008C4DF3" w:rsidRDefault="00146F46" w:rsidP="002444B3">
      <w:pPr>
        <w:spacing w:after="60" w:line="240" w:lineRule="auto"/>
        <w:rPr>
          <w:rFonts w:ascii="Calibri" w:hAnsi="Calibri" w:cs="Calibri"/>
          <w:i/>
          <w:iCs/>
          <w:sz w:val="18"/>
          <w:szCs w:val="18"/>
        </w:rPr>
      </w:pPr>
      <w:r w:rsidRPr="008C4DF3">
        <w:rPr>
          <w:rFonts w:ascii="Calibri" w:hAnsi="Calibri"/>
          <w:i/>
          <w:sz w:val="18"/>
          <w:szCs w:val="18"/>
        </w:rPr>
        <w:t>Esta Hoja de orientación ofrece intervenciones, preguntas orientadoras y un ejemplo de cómo las 4 Medidas Clave de Igualdad de Género (GEM) apoyan la igualdad de género en proyectos y programas específicos a la discapacidad. El IASC GAM identifica la extensión a la que esto</w:t>
      </w:r>
      <w:r w:rsidR="008C4DF3">
        <w:rPr>
          <w:rFonts w:ascii="Calibri" w:hAnsi="Calibri"/>
          <w:i/>
          <w:sz w:val="18"/>
          <w:szCs w:val="18"/>
        </w:rPr>
        <w:t xml:space="preserve">s elementos están presentes en </w:t>
      </w:r>
      <w:r w:rsidRPr="008C4DF3">
        <w:rPr>
          <w:rFonts w:ascii="Calibri" w:hAnsi="Calibri"/>
          <w:i/>
          <w:sz w:val="18"/>
          <w:szCs w:val="18"/>
        </w:rPr>
        <w:t>propuestas y proyectos implementados.</w:t>
      </w:r>
    </w:p>
    <w:p w14:paraId="1C266435" w14:textId="2C51B842" w:rsidR="00BE72AC" w:rsidRPr="008C4DF3" w:rsidRDefault="00146F46" w:rsidP="002444B3">
      <w:pPr>
        <w:spacing w:after="60" w:line="240" w:lineRule="auto"/>
        <w:rPr>
          <w:rFonts w:ascii="Calibri" w:hAnsi="Calibri" w:cs="Calibri"/>
          <w:sz w:val="18"/>
          <w:szCs w:val="18"/>
        </w:rPr>
      </w:pPr>
      <w:r w:rsidRPr="008C4DF3">
        <w:rPr>
          <w:rFonts w:ascii="Calibri" w:hAnsi="Calibri"/>
          <w:b/>
          <w:sz w:val="18"/>
          <w:szCs w:val="18"/>
        </w:rPr>
        <w:t>igualdad de género en intervencione</w:t>
      </w:r>
      <w:r w:rsidR="00AB2FCE">
        <w:rPr>
          <w:rFonts w:ascii="Calibri" w:hAnsi="Calibri"/>
          <w:b/>
          <w:sz w:val="18"/>
          <w:szCs w:val="18"/>
        </w:rPr>
        <w:t>s específicas a la discapacidad:</w:t>
      </w:r>
      <w:r w:rsidRPr="008C4DF3">
        <w:rPr>
          <w:rFonts w:ascii="Calibri" w:hAnsi="Calibri"/>
          <w:b/>
          <w:sz w:val="18"/>
          <w:szCs w:val="18"/>
        </w:rPr>
        <w:t xml:space="preserve"> </w:t>
      </w:r>
      <w:r w:rsidRPr="008C4DF3">
        <w:rPr>
          <w:rFonts w:ascii="Calibri" w:hAnsi="Calibri"/>
          <w:sz w:val="18"/>
          <w:szCs w:val="18"/>
        </w:rPr>
        <w:t>Las mujeres, niñas, niños, hombres de edades diferentes tienen igual acceso a servicios y asistencia específicos a la discapacidad. Estos servicios satisfacen sus necesidades y preferencias, así como las de los miembros de la familia o cuidadores que los apoyan.</w:t>
      </w:r>
    </w:p>
    <w:p w14:paraId="3837F370" w14:textId="6BB0E45A" w:rsidR="00100A5C" w:rsidRPr="008C4DF3" w:rsidRDefault="00816E3F" w:rsidP="002444B3">
      <w:pPr>
        <w:spacing w:after="60" w:line="240" w:lineRule="auto"/>
        <w:rPr>
          <w:rFonts w:ascii="Calibri" w:hAnsi="Calibri" w:cs="Calibri"/>
          <w:sz w:val="18"/>
          <w:szCs w:val="18"/>
        </w:rPr>
      </w:pPr>
      <w:r w:rsidRPr="008C4DF3">
        <w:rPr>
          <w:rFonts w:ascii="Calibri" w:hAnsi="Calibri"/>
          <w:sz w:val="18"/>
          <w:szCs w:val="18"/>
        </w:rPr>
        <w:t xml:space="preserve">En entornos humanitarios, las intervenciones específicas a la discapacidad permiten la vida diaria y la participación social de personas con discapacidades en una base equitativa con otros.  Esto incluye su acceso pleno a y participación en la entrega y recepción de ayuda humanitaria.  Las organizaciones pueden hacer que la asistencia específica a la discapacidad sea sensible a las diferentes necesidades al: </w:t>
      </w:r>
    </w:p>
    <w:p w14:paraId="5582DF43" w14:textId="0B1F4343" w:rsidR="00100A5C" w:rsidRPr="008C4DF3" w:rsidRDefault="00100A5C" w:rsidP="002444B3">
      <w:pPr>
        <w:pStyle w:val="Prrafodelista"/>
        <w:numPr>
          <w:ilvl w:val="0"/>
          <w:numId w:val="8"/>
        </w:numPr>
        <w:spacing w:after="0" w:line="240" w:lineRule="auto"/>
        <w:ind w:left="426" w:hanging="284"/>
        <w:rPr>
          <w:rFonts w:ascii="Calibri" w:hAnsi="Calibri" w:cs="Calibri"/>
          <w:sz w:val="18"/>
          <w:szCs w:val="18"/>
        </w:rPr>
      </w:pPr>
      <w:r w:rsidRPr="008C4DF3">
        <w:rPr>
          <w:rFonts w:ascii="Calibri" w:hAnsi="Calibri"/>
          <w:sz w:val="18"/>
          <w:szCs w:val="18"/>
        </w:rPr>
        <w:t>Identificar las diferentes situaciones y necesidades de diversas pe</w:t>
      </w:r>
      <w:r w:rsidR="008C4DF3">
        <w:rPr>
          <w:rFonts w:ascii="Calibri" w:hAnsi="Calibri"/>
          <w:sz w:val="18"/>
          <w:szCs w:val="18"/>
        </w:rPr>
        <w:t xml:space="preserve">rsonas con discapacidades, así </w:t>
      </w:r>
      <w:r w:rsidRPr="008C4DF3">
        <w:rPr>
          <w:rFonts w:ascii="Calibri" w:hAnsi="Calibri"/>
          <w:sz w:val="18"/>
          <w:szCs w:val="18"/>
        </w:rPr>
        <w:t>como las distintas barreras que enfrentan en el acceso a los servicios y asistencia;</w:t>
      </w:r>
    </w:p>
    <w:p w14:paraId="18BBE36F" w14:textId="5066B79B" w:rsidR="00100A5C" w:rsidRPr="008C4DF3" w:rsidRDefault="00100A5C" w:rsidP="002444B3">
      <w:pPr>
        <w:pStyle w:val="Prrafodelista"/>
        <w:numPr>
          <w:ilvl w:val="0"/>
          <w:numId w:val="8"/>
        </w:numPr>
        <w:spacing w:after="0" w:line="240" w:lineRule="auto"/>
        <w:ind w:left="426" w:hanging="284"/>
        <w:rPr>
          <w:rFonts w:ascii="Calibri" w:hAnsi="Calibri" w:cs="Calibri"/>
          <w:sz w:val="18"/>
          <w:szCs w:val="18"/>
        </w:rPr>
      </w:pPr>
      <w:r w:rsidRPr="008C4DF3">
        <w:rPr>
          <w:rFonts w:ascii="Calibri" w:hAnsi="Calibri"/>
          <w:sz w:val="18"/>
          <w:szCs w:val="18"/>
        </w:rPr>
        <w:t>Explorar los roles de las mujeres, niñas, niños y hombres con discapacidades en hogares, incluidas las relaciones con los cuidadores, e implicaciones para el acceso a servicios específicos a la discapacidad.</w:t>
      </w:r>
    </w:p>
    <w:p w14:paraId="09A96A37" w14:textId="45E6B08C" w:rsidR="00793D87" w:rsidRPr="008C4DF3" w:rsidRDefault="00793D87" w:rsidP="002444B3">
      <w:pPr>
        <w:pStyle w:val="Prrafodelista"/>
        <w:numPr>
          <w:ilvl w:val="0"/>
          <w:numId w:val="8"/>
        </w:numPr>
        <w:spacing w:after="0" w:line="240" w:lineRule="auto"/>
        <w:ind w:left="426" w:hanging="284"/>
        <w:rPr>
          <w:rFonts w:ascii="Calibri" w:hAnsi="Calibri" w:cs="Calibri"/>
          <w:sz w:val="18"/>
          <w:szCs w:val="18"/>
        </w:rPr>
      </w:pPr>
      <w:r w:rsidRPr="008C4DF3">
        <w:rPr>
          <w:rFonts w:ascii="Calibri" w:hAnsi="Calibri"/>
          <w:sz w:val="18"/>
          <w:szCs w:val="18"/>
        </w:rPr>
        <w:t xml:space="preserve">Brindar servicios y asistencia adecuadamente adaptados incluida la rehabilitación, ayudas y aparatos de asistencia, artículos no alimentarios específicos, medios de subsistencia adaptados, y capacitación/oportunidades vocacionales, apoyo psicológico, y defensa de la inclusión;  </w:t>
      </w:r>
    </w:p>
    <w:p w14:paraId="529B5775" w14:textId="2FF12FD1" w:rsidR="00100A5C" w:rsidRPr="008C4DF3" w:rsidRDefault="00100A5C" w:rsidP="002444B3">
      <w:pPr>
        <w:pStyle w:val="Prrafodelista"/>
        <w:numPr>
          <w:ilvl w:val="0"/>
          <w:numId w:val="8"/>
        </w:numPr>
        <w:spacing w:after="0" w:line="240" w:lineRule="auto"/>
        <w:ind w:left="426" w:hanging="284"/>
        <w:rPr>
          <w:rFonts w:ascii="Calibri" w:hAnsi="Calibri" w:cs="Calibri"/>
          <w:sz w:val="18"/>
          <w:szCs w:val="18"/>
        </w:rPr>
      </w:pPr>
      <w:r w:rsidRPr="008C4DF3">
        <w:rPr>
          <w:rFonts w:ascii="Calibri" w:hAnsi="Calibri"/>
          <w:sz w:val="18"/>
          <w:szCs w:val="18"/>
        </w:rPr>
        <w:t>Mapear y compartir información sobre servicios y asistencia de discapacidad apropiados al género y la edad, incluida la protección y empoderamiento de mujeres y niñas, y apoyo a personas de diversa orientación sexual e identidad de género.</w:t>
      </w:r>
    </w:p>
    <w:p w14:paraId="2C770570" w14:textId="2E2CD9F2" w:rsidR="00100A5C" w:rsidRPr="008C4DF3" w:rsidRDefault="008C4DF3" w:rsidP="002444B3">
      <w:pPr>
        <w:pStyle w:val="Prrafodelista"/>
        <w:numPr>
          <w:ilvl w:val="0"/>
          <w:numId w:val="8"/>
        </w:numPr>
        <w:spacing w:after="0" w:line="240" w:lineRule="auto"/>
        <w:ind w:left="426" w:hanging="284"/>
        <w:rPr>
          <w:rFonts w:ascii="Calibri" w:hAnsi="Calibri" w:cs="Calibri"/>
          <w:sz w:val="18"/>
          <w:szCs w:val="18"/>
        </w:rPr>
      </w:pPr>
      <w:r>
        <w:rPr>
          <w:rFonts w:ascii="Calibri" w:hAnsi="Calibri"/>
          <w:sz w:val="18"/>
          <w:szCs w:val="18"/>
        </w:rPr>
        <w:t xml:space="preserve">Garantizar que las </w:t>
      </w:r>
      <w:r w:rsidR="00100A5C" w:rsidRPr="008C4DF3">
        <w:rPr>
          <w:rFonts w:ascii="Calibri" w:hAnsi="Calibri"/>
          <w:sz w:val="18"/>
          <w:szCs w:val="18"/>
        </w:rPr>
        <w:t xml:space="preserve">mujeres y hombres con discapacidades a lo largo de la vida tengan el mismo peso en decisiones del proyecto; </w:t>
      </w:r>
    </w:p>
    <w:p w14:paraId="6D185CAC" w14:textId="6EC8EAB1" w:rsidR="00100A5C" w:rsidRPr="008C4DF3" w:rsidRDefault="00100A5C" w:rsidP="002444B3">
      <w:pPr>
        <w:pStyle w:val="Prrafodelista"/>
        <w:numPr>
          <w:ilvl w:val="0"/>
          <w:numId w:val="8"/>
        </w:numPr>
        <w:spacing w:after="60" w:line="240" w:lineRule="auto"/>
        <w:ind w:left="426" w:hanging="284"/>
        <w:rPr>
          <w:rFonts w:ascii="Calibri" w:hAnsi="Calibri" w:cs="Calibri"/>
          <w:sz w:val="18"/>
          <w:szCs w:val="18"/>
        </w:rPr>
      </w:pPr>
      <w:r w:rsidRPr="008C4DF3">
        <w:rPr>
          <w:rFonts w:ascii="Calibri" w:hAnsi="Calibri"/>
          <w:sz w:val="18"/>
          <w:szCs w:val="18"/>
        </w:rPr>
        <w:t xml:space="preserve">Medir si las mujeres, hombres, niñas y niños con discapacidades se benefician por igual de las intervenciones. </w:t>
      </w:r>
    </w:p>
    <w:p w14:paraId="3D4B2F1C" w14:textId="23F0A41B" w:rsidR="00A60535" w:rsidRPr="008C4DF3" w:rsidRDefault="00271E85" w:rsidP="00D27D72">
      <w:pPr>
        <w:rPr>
          <w:rFonts w:ascii="Calibri" w:hAnsi="Calibri" w:cs="Calibri"/>
          <w:sz w:val="18"/>
          <w:szCs w:val="18"/>
        </w:rPr>
      </w:pPr>
      <w:r w:rsidRPr="008C4DF3">
        <w:rPr>
          <w:rFonts w:ascii="Calibri" w:hAnsi="Calibri"/>
          <w:sz w:val="18"/>
          <w:szCs w:val="18"/>
        </w:rPr>
        <w:t>El análisis de género le</w:t>
      </w:r>
      <w:r w:rsidR="008C4DF3">
        <w:rPr>
          <w:rFonts w:ascii="Calibri" w:hAnsi="Calibri"/>
          <w:sz w:val="18"/>
          <w:szCs w:val="18"/>
        </w:rPr>
        <w:t>s</w:t>
      </w:r>
      <w:r w:rsidRPr="008C4DF3">
        <w:rPr>
          <w:rFonts w:ascii="Calibri" w:hAnsi="Calibri"/>
          <w:sz w:val="18"/>
          <w:szCs w:val="18"/>
        </w:rPr>
        <w:t xml:space="preserve"> permite a las organizaciones entregar intervenciones relacionadas con la discapacidad para identificar las necesidades, prioridades y</w:t>
      </w:r>
      <w:r>
        <w:rPr>
          <w:rFonts w:ascii="Calibri" w:hAnsi="Calibri"/>
          <w:sz w:val="20"/>
        </w:rPr>
        <w:t xml:space="preserve"> </w:t>
      </w:r>
      <w:r w:rsidRPr="008C4DF3">
        <w:rPr>
          <w:rFonts w:ascii="Calibri" w:hAnsi="Calibri"/>
          <w:sz w:val="18"/>
          <w:szCs w:val="18"/>
        </w:rPr>
        <w:t>preferencias de servicios de distintos grupos de género. El análisis también debe explorar los riesgos relacionados con la edad y el género en el acceso a los servicios de discapacidad, como acoso en el transporte público, niños sacados de la escuela para acompañar a miembros de la familia, y explotación que enfrentan las madres de niños con discapacidades. Algunas personas pueden confiar en los miembros de la familia para tener acceso a los servicios, y los proveedores</w:t>
      </w:r>
      <w:r>
        <w:rPr>
          <w:rFonts w:ascii="Calibri" w:hAnsi="Calibri"/>
          <w:sz w:val="20"/>
        </w:rPr>
        <w:t xml:space="preserve"> </w:t>
      </w:r>
      <w:r w:rsidRPr="008C4DF3">
        <w:rPr>
          <w:rFonts w:ascii="Calibri" w:hAnsi="Calibri"/>
          <w:sz w:val="18"/>
          <w:szCs w:val="18"/>
        </w:rPr>
        <w:t>de salud pueden tener actitudes</w:t>
      </w:r>
      <w:r>
        <w:rPr>
          <w:rFonts w:ascii="Calibri" w:hAnsi="Calibri"/>
          <w:sz w:val="20"/>
        </w:rPr>
        <w:t xml:space="preserve"> </w:t>
      </w:r>
      <w:r w:rsidRPr="008C4DF3">
        <w:rPr>
          <w:rFonts w:ascii="Calibri" w:hAnsi="Calibri"/>
          <w:sz w:val="18"/>
          <w:szCs w:val="18"/>
        </w:rPr>
        <w:t>discriminatorias relacionadas con personas de distintas edades y géneros.</w:t>
      </w:r>
    </w:p>
    <w:p w14:paraId="458FDBC8" w14:textId="77777777" w:rsidR="00843CCF" w:rsidRPr="006356B1" w:rsidRDefault="00306150" w:rsidP="006356B1">
      <w:pPr>
        <w:spacing w:after="0" w:line="240" w:lineRule="auto"/>
        <w:rPr>
          <w:rFonts w:ascii="Calibri" w:hAnsi="Calibri" w:cs="Calibri"/>
          <w:sz w:val="6"/>
          <w:szCs w:val="6"/>
        </w:rPr>
      </w:pPr>
      <w:r>
        <w:rPr>
          <w:rFonts w:ascii="Calibri" w:hAnsi="Calibri"/>
          <w:sz w:val="20"/>
        </w:rPr>
        <w:t xml:space="preserve">                                    </w:t>
      </w:r>
    </w:p>
    <w:p w14:paraId="3B24CAE8" w14:textId="46EB224E" w:rsidR="00306150" w:rsidRPr="00440441" w:rsidRDefault="00306150" w:rsidP="00843CCF">
      <w:pPr>
        <w:ind w:left="720" w:firstLine="720"/>
        <w:rPr>
          <w:rFonts w:ascii="Calibri" w:hAnsi="Calibri" w:cs="Calibri"/>
          <w:b/>
          <w:sz w:val="24"/>
          <w:szCs w:val="24"/>
        </w:rPr>
      </w:pPr>
      <w:r>
        <w:rPr>
          <w:rFonts w:ascii="Calibri" w:hAnsi="Calibri"/>
          <w:b/>
          <w:color w:val="000000"/>
          <w:sz w:val="24"/>
        </w:rPr>
        <w:t>Preguntas para inspirar la acción</w:t>
      </w:r>
    </w:p>
    <w:tbl>
      <w:tblPr>
        <w:tblStyle w:val="Tablaconcuadrcula"/>
        <w:tblW w:w="5710" w:type="dxa"/>
        <w:tblInd w:w="-186" w:type="dxa"/>
        <w:tblLook w:val="04A0" w:firstRow="1" w:lastRow="0" w:firstColumn="1" w:lastColumn="0" w:noHBand="0" w:noVBand="1"/>
      </w:tblPr>
      <w:tblGrid>
        <w:gridCol w:w="528"/>
        <w:gridCol w:w="5182"/>
      </w:tblGrid>
      <w:tr w:rsidR="00626B19" w:rsidRPr="003D5E7C" w14:paraId="402E2EA9" w14:textId="77777777" w:rsidTr="002A48A2">
        <w:trPr>
          <w:trHeight w:val="170"/>
        </w:trPr>
        <w:tc>
          <w:tcPr>
            <w:tcW w:w="528" w:type="dxa"/>
            <w:vMerge w:val="restart"/>
            <w:textDirection w:val="btLr"/>
            <w:vAlign w:val="center"/>
          </w:tcPr>
          <w:p w14:paraId="0D88F21D" w14:textId="77777777" w:rsidR="00306150" w:rsidRPr="0033599E" w:rsidRDefault="00306150" w:rsidP="00306150">
            <w:pPr>
              <w:ind w:left="113" w:right="113"/>
              <w:jc w:val="center"/>
              <w:rPr>
                <w:rFonts w:ascii="Calibri" w:hAnsi="Calibri" w:cs="Calibri"/>
                <w:b/>
                <w:color w:val="70AD47" w:themeColor="accent6"/>
                <w:sz w:val="18"/>
                <w:szCs w:val="18"/>
              </w:rPr>
            </w:pPr>
            <w:r>
              <w:rPr>
                <w:rFonts w:ascii="Calibri" w:hAnsi="Calibri"/>
                <w:b/>
                <w:sz w:val="18"/>
              </w:rPr>
              <w:t>Conjunto de análisis de necesidades</w:t>
            </w:r>
          </w:p>
        </w:tc>
        <w:tc>
          <w:tcPr>
            <w:tcW w:w="5182" w:type="dxa"/>
          </w:tcPr>
          <w:p w14:paraId="59BCEF1E" w14:textId="6C459CBC" w:rsidR="00306150" w:rsidRPr="008C4DF3" w:rsidRDefault="00306150" w:rsidP="0033599E">
            <w:pPr>
              <w:jc w:val="right"/>
              <w:rPr>
                <w:rFonts w:ascii="Calibri" w:hAnsi="Calibri" w:cs="Calibri"/>
                <w:sz w:val="16"/>
                <w:szCs w:val="16"/>
              </w:rPr>
            </w:pPr>
            <w:r w:rsidRPr="008C4DF3">
              <w:rPr>
                <w:rFonts w:ascii="Calibri" w:hAnsi="Calibri"/>
                <w:b/>
                <w:color w:val="70AD47" w:themeColor="accent6"/>
                <w:sz w:val="16"/>
                <w:szCs w:val="16"/>
              </w:rPr>
              <w:t xml:space="preserve">Análisis de género (clave) </w:t>
            </w:r>
            <w:r w:rsidRPr="008C4DF3">
              <w:rPr>
                <w:rFonts w:ascii="Calibri" w:hAnsi="Calibri"/>
                <w:sz w:val="16"/>
                <w:szCs w:val="16"/>
              </w:rPr>
              <w:t xml:space="preserve">¿Cómo la crisis afecta a las necesidades relacionadas con la discapacidad de mujeres, hombres niñas y niños?  ¿Qué actividades diarias hacen las diversas personas con discapacidades para las que necesitan apoyo? ¿Cuáles son los grupos de género y edad de cuidadores familiares?  ¿Cómo han afectado las nuevas discapacidades a los roles de género en el hogar?  ¿Cuáles son las necesidades de apoyo psicológico de distintos grupos de género/edad con discapacidades?  ¿Qué actitudes y suposiciones dificultan que las mujeres, niñas, niños y hombres participen y tengan acceso a los servicios?  </w:t>
            </w:r>
          </w:p>
        </w:tc>
      </w:tr>
      <w:tr w:rsidR="00626B19" w:rsidRPr="003D5E7C" w14:paraId="12A6F634" w14:textId="77777777" w:rsidTr="002A48A2">
        <w:trPr>
          <w:trHeight w:val="170"/>
        </w:trPr>
        <w:tc>
          <w:tcPr>
            <w:tcW w:w="528" w:type="dxa"/>
            <w:vMerge/>
            <w:vAlign w:val="center"/>
          </w:tcPr>
          <w:p w14:paraId="46C0DE4A" w14:textId="77777777" w:rsidR="00306150" w:rsidRPr="0033599E" w:rsidRDefault="00306150" w:rsidP="00306150">
            <w:pPr>
              <w:rPr>
                <w:rFonts w:ascii="Calibri" w:hAnsi="Calibri" w:cs="Calibri"/>
                <w:b/>
                <w:color w:val="70AD47" w:themeColor="accent6"/>
                <w:sz w:val="18"/>
                <w:szCs w:val="18"/>
              </w:rPr>
            </w:pPr>
          </w:p>
        </w:tc>
        <w:tc>
          <w:tcPr>
            <w:tcW w:w="5182" w:type="dxa"/>
          </w:tcPr>
          <w:p w14:paraId="701C8F00" w14:textId="06F3DD67" w:rsidR="00306150" w:rsidRPr="008C4DF3" w:rsidRDefault="00306150" w:rsidP="0033599E">
            <w:pPr>
              <w:jc w:val="right"/>
              <w:rPr>
                <w:rFonts w:ascii="Calibri" w:hAnsi="Calibri" w:cs="Calibri"/>
                <w:sz w:val="16"/>
                <w:szCs w:val="16"/>
              </w:rPr>
            </w:pPr>
            <w:r w:rsidRPr="008C4DF3">
              <w:rPr>
                <w:rFonts w:ascii="Calibri" w:hAnsi="Calibri"/>
                <w:b/>
                <w:color w:val="70AD47" w:themeColor="accent6"/>
                <w:sz w:val="16"/>
                <w:szCs w:val="16"/>
              </w:rPr>
              <w:t>Datos desglosados (SADD)</w:t>
            </w:r>
            <w:r w:rsidRPr="008C4DF3">
              <w:rPr>
                <w:rFonts w:ascii="Calibri" w:hAnsi="Calibri"/>
                <w:sz w:val="16"/>
                <w:szCs w:val="16"/>
              </w:rPr>
              <w:t xml:space="preserve"> ¿Cómo varían las tasas de acceso a los servicios, barreras y facilitadores por género y edad?</w:t>
            </w:r>
          </w:p>
        </w:tc>
      </w:tr>
      <w:tr w:rsidR="00626B19" w:rsidRPr="003D5E7C" w14:paraId="777F8D9D" w14:textId="77777777" w:rsidTr="002A48A2">
        <w:trPr>
          <w:trHeight w:val="170"/>
        </w:trPr>
        <w:tc>
          <w:tcPr>
            <w:tcW w:w="528" w:type="dxa"/>
            <w:vMerge/>
            <w:vAlign w:val="center"/>
          </w:tcPr>
          <w:p w14:paraId="2A3FDE77" w14:textId="77777777" w:rsidR="00306150" w:rsidRPr="0033599E" w:rsidRDefault="00306150" w:rsidP="00306150">
            <w:pPr>
              <w:rPr>
                <w:rFonts w:ascii="Calibri" w:hAnsi="Calibri" w:cs="Calibri"/>
                <w:b/>
                <w:color w:val="70AD47" w:themeColor="accent6"/>
                <w:sz w:val="18"/>
                <w:szCs w:val="18"/>
              </w:rPr>
            </w:pPr>
          </w:p>
        </w:tc>
        <w:tc>
          <w:tcPr>
            <w:tcW w:w="5182" w:type="dxa"/>
          </w:tcPr>
          <w:p w14:paraId="6F465032" w14:textId="1C174A8D" w:rsidR="00306150" w:rsidRPr="008C4DF3" w:rsidRDefault="00306150" w:rsidP="0033599E">
            <w:pPr>
              <w:jc w:val="right"/>
              <w:rPr>
                <w:rFonts w:ascii="Calibri" w:hAnsi="Calibri" w:cs="Calibri"/>
                <w:sz w:val="16"/>
                <w:szCs w:val="16"/>
              </w:rPr>
            </w:pPr>
            <w:r w:rsidRPr="008C4DF3">
              <w:rPr>
                <w:rFonts w:ascii="Calibri" w:hAnsi="Calibri"/>
                <w:b/>
                <w:color w:val="70AD47" w:themeColor="accent6"/>
                <w:sz w:val="16"/>
                <w:szCs w:val="16"/>
              </w:rPr>
              <w:t>Buena focalización</w:t>
            </w:r>
            <w:r w:rsidRPr="008C4DF3">
              <w:rPr>
                <w:rFonts w:ascii="Calibri" w:hAnsi="Calibri"/>
                <w:sz w:val="16"/>
                <w:szCs w:val="16"/>
              </w:rPr>
              <w:t xml:space="preserve"> ¿Está e</w:t>
            </w:r>
            <w:r w:rsidR="008C4DF3">
              <w:rPr>
                <w:rFonts w:ascii="Calibri" w:hAnsi="Calibri"/>
                <w:sz w:val="16"/>
                <w:szCs w:val="16"/>
              </w:rPr>
              <w:t xml:space="preserve">nterado el personal de cómo el </w:t>
            </w:r>
            <w:r w:rsidRPr="008C4DF3">
              <w:rPr>
                <w:rFonts w:ascii="Calibri" w:hAnsi="Calibri"/>
                <w:sz w:val="16"/>
                <w:szCs w:val="16"/>
              </w:rPr>
              <w:t>género y la edad afectan el acceso e inclusión en proyectos y programas específicos a la discapacidad?  ¿Qué acciones se toman para llegar a grupos con menos acceso a los servicios?  ¿Están los servicios y distribuci</w:t>
            </w:r>
            <w:r w:rsidR="008C4DF3">
              <w:rPr>
                <w:rFonts w:ascii="Calibri" w:hAnsi="Calibri"/>
                <w:sz w:val="16"/>
                <w:szCs w:val="16"/>
              </w:rPr>
              <w:t xml:space="preserve">ón </w:t>
            </w:r>
            <w:r w:rsidRPr="008C4DF3">
              <w:rPr>
                <w:rFonts w:ascii="Calibri" w:hAnsi="Calibri"/>
                <w:sz w:val="16"/>
                <w:szCs w:val="16"/>
              </w:rPr>
              <w:t xml:space="preserve">diseñados y ubicados para el acceso seguro por parte de todos los grupos de género y edad? </w:t>
            </w:r>
          </w:p>
        </w:tc>
      </w:tr>
      <w:tr w:rsidR="00626B19" w:rsidRPr="003D5E7C" w14:paraId="5FAC9B3E" w14:textId="77777777" w:rsidTr="002A48A2">
        <w:trPr>
          <w:trHeight w:val="170"/>
        </w:trPr>
        <w:tc>
          <w:tcPr>
            <w:tcW w:w="528" w:type="dxa"/>
            <w:vMerge w:val="restart"/>
            <w:textDirection w:val="btLr"/>
            <w:vAlign w:val="center"/>
          </w:tcPr>
          <w:p w14:paraId="7368BF30" w14:textId="2DBF6170" w:rsidR="00306150" w:rsidRPr="0033599E" w:rsidRDefault="00306150" w:rsidP="00306150">
            <w:pPr>
              <w:ind w:left="113" w:right="113"/>
              <w:jc w:val="center"/>
              <w:rPr>
                <w:rFonts w:ascii="Calibri" w:hAnsi="Calibri" w:cs="Calibri"/>
                <w:b/>
                <w:color w:val="70AD47" w:themeColor="accent6"/>
                <w:sz w:val="18"/>
                <w:szCs w:val="18"/>
              </w:rPr>
            </w:pPr>
            <w:r>
              <w:rPr>
                <w:rFonts w:ascii="Calibri" w:hAnsi="Calibri"/>
                <w:b/>
                <w:sz w:val="18"/>
              </w:rPr>
              <w:t xml:space="preserve">Conjunto de asistencia adaptada </w:t>
            </w:r>
          </w:p>
        </w:tc>
        <w:tc>
          <w:tcPr>
            <w:tcW w:w="5182" w:type="dxa"/>
          </w:tcPr>
          <w:p w14:paraId="147B77B8" w14:textId="281506B5" w:rsidR="00306150" w:rsidRPr="008C4DF3" w:rsidRDefault="00306150" w:rsidP="0033599E">
            <w:pPr>
              <w:jc w:val="right"/>
              <w:rPr>
                <w:rFonts w:ascii="Calibri" w:hAnsi="Calibri" w:cs="Calibri"/>
                <w:sz w:val="16"/>
                <w:szCs w:val="16"/>
              </w:rPr>
            </w:pPr>
            <w:r w:rsidRPr="008C4DF3">
              <w:rPr>
                <w:rFonts w:ascii="Calibri" w:hAnsi="Calibri"/>
                <w:b/>
                <w:color w:val="70AD47" w:themeColor="accent6"/>
                <w:sz w:val="16"/>
                <w:szCs w:val="16"/>
              </w:rPr>
              <w:t xml:space="preserve">Actividades personalizadas (clave) </w:t>
            </w:r>
            <w:r w:rsidRPr="008C4DF3">
              <w:rPr>
                <w:rFonts w:ascii="Calibri" w:hAnsi="Calibri"/>
                <w:sz w:val="16"/>
                <w:szCs w:val="16"/>
              </w:rPr>
              <w:t>¿Las intervenciones específicas a la discapacidad responden a las necesidades, roles y dinámicas de distintos grupos de género y edad identificados en el análisis?  ¿Qué esfuerzos se hacen para abordar las barreras que afectan a diferentes grupos?  ¿Se refuerzan las destrezas y fortalezas de mujeres y ho</w:t>
            </w:r>
            <w:r w:rsidR="00AB2FCE">
              <w:rPr>
                <w:rFonts w:ascii="Calibri" w:hAnsi="Calibri"/>
                <w:sz w:val="16"/>
                <w:szCs w:val="16"/>
              </w:rPr>
              <w:t>mbres a lo larg</w:t>
            </w:r>
            <w:r w:rsidR="008C4DF3">
              <w:rPr>
                <w:rFonts w:ascii="Calibri" w:hAnsi="Calibri"/>
                <w:sz w:val="16"/>
                <w:szCs w:val="16"/>
              </w:rPr>
              <w:t xml:space="preserve">o de la vida en </w:t>
            </w:r>
            <w:r w:rsidRPr="008C4DF3">
              <w:rPr>
                <w:rFonts w:ascii="Calibri" w:hAnsi="Calibri"/>
                <w:sz w:val="16"/>
                <w:szCs w:val="16"/>
              </w:rPr>
              <w:t>el proyecto?  ¿Cómo se involucran los miembros de la familia y cuidadores?</w:t>
            </w:r>
          </w:p>
        </w:tc>
      </w:tr>
      <w:tr w:rsidR="00626B19" w:rsidRPr="003D5E7C" w14:paraId="5D4E386F" w14:textId="77777777" w:rsidTr="002A48A2">
        <w:trPr>
          <w:trHeight w:val="170"/>
        </w:trPr>
        <w:tc>
          <w:tcPr>
            <w:tcW w:w="528" w:type="dxa"/>
            <w:vMerge/>
            <w:textDirection w:val="btLr"/>
            <w:vAlign w:val="center"/>
          </w:tcPr>
          <w:p w14:paraId="7BCC8BB6" w14:textId="77777777" w:rsidR="00306150" w:rsidRPr="0033599E" w:rsidRDefault="00306150" w:rsidP="00306150">
            <w:pPr>
              <w:ind w:left="113" w:right="113"/>
              <w:jc w:val="center"/>
              <w:rPr>
                <w:rFonts w:ascii="Calibri" w:hAnsi="Calibri" w:cs="Calibri"/>
                <w:b/>
                <w:color w:val="70AD47" w:themeColor="accent6"/>
                <w:sz w:val="18"/>
                <w:szCs w:val="18"/>
              </w:rPr>
            </w:pPr>
          </w:p>
        </w:tc>
        <w:tc>
          <w:tcPr>
            <w:tcW w:w="5182" w:type="dxa"/>
          </w:tcPr>
          <w:p w14:paraId="7118BE6C" w14:textId="7B07C561" w:rsidR="00306150" w:rsidRPr="008C4DF3" w:rsidRDefault="00306150" w:rsidP="0033599E">
            <w:pPr>
              <w:jc w:val="right"/>
              <w:rPr>
                <w:rFonts w:ascii="Calibri" w:hAnsi="Calibri" w:cs="Calibri"/>
                <w:sz w:val="16"/>
                <w:szCs w:val="16"/>
              </w:rPr>
            </w:pPr>
            <w:r w:rsidRPr="008C4DF3">
              <w:rPr>
                <w:rFonts w:ascii="Calibri" w:hAnsi="Calibri"/>
                <w:b/>
                <w:color w:val="70AD47" w:themeColor="accent6"/>
                <w:sz w:val="16"/>
                <w:szCs w:val="16"/>
              </w:rPr>
              <w:t>Protección de riesgos contra la GBV</w:t>
            </w:r>
            <w:r w:rsidR="00AB2FCE">
              <w:rPr>
                <w:sz w:val="16"/>
                <w:szCs w:val="16"/>
              </w:rPr>
              <w:t xml:space="preserve"> </w:t>
            </w:r>
            <w:r w:rsidRPr="008C4DF3">
              <w:rPr>
                <w:rFonts w:ascii="Calibri" w:hAnsi="Calibri"/>
                <w:sz w:val="16"/>
                <w:szCs w:val="16"/>
              </w:rPr>
              <w:t xml:space="preserve">¿Qué pasos se toman para reducir el riesgo de violencia sexual contra personas con discapacidades que acceden a los servicios?  ¿Se les pregunta a las mujeres, niñas, niños y hombres con discapacidades sobre cómo hacer que las intervenciones sean más seguras?  ¿Está capacitado el personal en la identificación y remisión seguras de sobrevivientes de GBV?  ¿Existe una ruta de remisión para que los sobrevivientes de GBV con discapacidadees tengan acceso a apoyo de especialistas? </w:t>
            </w:r>
          </w:p>
        </w:tc>
      </w:tr>
      <w:tr w:rsidR="00626B19" w:rsidRPr="003D5E7C" w14:paraId="7FF6B8C9" w14:textId="77777777" w:rsidTr="002A48A2">
        <w:trPr>
          <w:trHeight w:val="170"/>
        </w:trPr>
        <w:tc>
          <w:tcPr>
            <w:tcW w:w="528" w:type="dxa"/>
            <w:vMerge/>
            <w:textDirection w:val="btLr"/>
            <w:vAlign w:val="center"/>
          </w:tcPr>
          <w:p w14:paraId="1CD7D644" w14:textId="77777777" w:rsidR="00306150" w:rsidRPr="0033599E" w:rsidRDefault="00306150" w:rsidP="00306150">
            <w:pPr>
              <w:ind w:left="113" w:right="113"/>
              <w:jc w:val="center"/>
              <w:rPr>
                <w:rFonts w:ascii="Calibri" w:hAnsi="Calibri" w:cs="Calibri"/>
                <w:b/>
                <w:color w:val="70AD47" w:themeColor="accent6"/>
                <w:sz w:val="18"/>
                <w:szCs w:val="18"/>
              </w:rPr>
            </w:pPr>
          </w:p>
        </w:tc>
        <w:tc>
          <w:tcPr>
            <w:tcW w:w="5182" w:type="dxa"/>
          </w:tcPr>
          <w:p w14:paraId="1F439D50" w14:textId="03D54FFD" w:rsidR="00306150" w:rsidRPr="008C4DF3" w:rsidRDefault="00306150" w:rsidP="0033599E">
            <w:pPr>
              <w:jc w:val="right"/>
              <w:rPr>
                <w:rFonts w:ascii="Calibri" w:hAnsi="Calibri" w:cs="Calibri"/>
                <w:sz w:val="16"/>
                <w:szCs w:val="16"/>
              </w:rPr>
            </w:pPr>
            <w:r w:rsidRPr="008C4DF3">
              <w:rPr>
                <w:rFonts w:ascii="Calibri" w:hAnsi="Calibri"/>
                <w:b/>
                <w:color w:val="70AD47" w:themeColor="accent6"/>
                <w:sz w:val="16"/>
                <w:szCs w:val="16"/>
              </w:rPr>
              <w:t>Coordinación</w:t>
            </w:r>
            <w:r w:rsidR="00AB2FCE">
              <w:rPr>
                <w:sz w:val="16"/>
                <w:szCs w:val="16"/>
              </w:rPr>
              <w:t xml:space="preserve"> </w:t>
            </w:r>
            <w:r w:rsidRPr="008C4DF3">
              <w:rPr>
                <w:rFonts w:ascii="Calibri" w:hAnsi="Calibri"/>
                <w:sz w:val="16"/>
                <w:szCs w:val="16"/>
              </w:rPr>
              <w:t xml:space="preserve">¿El proyecto específico a la discapacidad se ajusta a las prioridades del plan del grupo/respuesta y complementa las acciones de otros grupos?  ¿Se comparte el análisis y datos de género? </w:t>
            </w:r>
          </w:p>
        </w:tc>
      </w:tr>
      <w:tr w:rsidR="006345D1" w:rsidRPr="003D5E7C" w14:paraId="5AB58944" w14:textId="77777777" w:rsidTr="002A48A2">
        <w:trPr>
          <w:trHeight w:val="170"/>
        </w:trPr>
        <w:tc>
          <w:tcPr>
            <w:tcW w:w="528" w:type="dxa"/>
            <w:vMerge w:val="restart"/>
            <w:textDirection w:val="btLr"/>
            <w:vAlign w:val="center"/>
          </w:tcPr>
          <w:p w14:paraId="371BF619" w14:textId="77777777" w:rsidR="00306150" w:rsidRPr="0033599E" w:rsidRDefault="00306150" w:rsidP="00306150">
            <w:pPr>
              <w:ind w:left="113" w:right="113"/>
              <w:jc w:val="center"/>
              <w:rPr>
                <w:rFonts w:ascii="Calibri" w:hAnsi="Calibri" w:cs="Calibri"/>
                <w:b/>
                <w:color w:val="70AD47" w:themeColor="accent6"/>
                <w:sz w:val="18"/>
                <w:szCs w:val="18"/>
              </w:rPr>
            </w:pPr>
            <w:r>
              <w:rPr>
                <w:rFonts w:ascii="Calibri" w:hAnsi="Calibri"/>
                <w:b/>
                <w:sz w:val="18"/>
              </w:rPr>
              <w:t>Conjunto de participación adecuada</w:t>
            </w:r>
          </w:p>
        </w:tc>
        <w:tc>
          <w:tcPr>
            <w:tcW w:w="5182" w:type="dxa"/>
          </w:tcPr>
          <w:p w14:paraId="46BCF952" w14:textId="77777777" w:rsidR="00306150" w:rsidRPr="008C4DF3" w:rsidRDefault="00306150" w:rsidP="0033599E">
            <w:pPr>
              <w:jc w:val="right"/>
              <w:rPr>
                <w:rFonts w:ascii="Calibri" w:hAnsi="Calibri" w:cs="Calibri"/>
                <w:sz w:val="16"/>
                <w:szCs w:val="16"/>
              </w:rPr>
            </w:pPr>
            <w:r w:rsidRPr="008C4DF3">
              <w:rPr>
                <w:rFonts w:ascii="Calibri" w:hAnsi="Calibri"/>
                <w:b/>
                <w:color w:val="70AD47" w:themeColor="accent6"/>
                <w:sz w:val="16"/>
                <w:szCs w:val="16"/>
              </w:rPr>
              <w:t xml:space="preserve">Influencia en el proyecto (clave) </w:t>
            </w:r>
            <w:r w:rsidRPr="008C4DF3">
              <w:rPr>
                <w:rFonts w:ascii="Calibri" w:hAnsi="Calibri"/>
                <w:sz w:val="16"/>
                <w:szCs w:val="16"/>
              </w:rPr>
              <w:t xml:space="preserve">¿Se consulta por igual a los distintos grupos de género y edad en el diseño, implementación y revisión del proyecto? ¿Existe representación equitativa de mujeres y hombres entre los puntos/movilizadores/comités focales de la comunidad? </w:t>
            </w:r>
          </w:p>
        </w:tc>
      </w:tr>
      <w:tr w:rsidR="006345D1" w:rsidRPr="003D5E7C" w14:paraId="2F8DC52E" w14:textId="77777777" w:rsidTr="002A48A2">
        <w:trPr>
          <w:trHeight w:val="170"/>
        </w:trPr>
        <w:tc>
          <w:tcPr>
            <w:tcW w:w="528" w:type="dxa"/>
            <w:vMerge/>
            <w:textDirection w:val="btLr"/>
            <w:vAlign w:val="center"/>
          </w:tcPr>
          <w:p w14:paraId="015FE4AD" w14:textId="77777777" w:rsidR="00306150" w:rsidRPr="0033599E" w:rsidRDefault="00306150" w:rsidP="00FE7CFA">
            <w:pPr>
              <w:ind w:left="113" w:right="113"/>
              <w:jc w:val="center"/>
              <w:rPr>
                <w:rFonts w:ascii="Calibri" w:hAnsi="Calibri" w:cs="Calibri"/>
                <w:b/>
                <w:color w:val="70AD47" w:themeColor="accent6"/>
                <w:sz w:val="18"/>
                <w:szCs w:val="18"/>
              </w:rPr>
            </w:pPr>
          </w:p>
        </w:tc>
        <w:tc>
          <w:tcPr>
            <w:tcW w:w="5182" w:type="dxa"/>
          </w:tcPr>
          <w:p w14:paraId="56D474B2" w14:textId="3E319E86" w:rsidR="00306150" w:rsidRPr="008C4DF3" w:rsidRDefault="00306150" w:rsidP="0033599E">
            <w:pPr>
              <w:jc w:val="right"/>
              <w:rPr>
                <w:rFonts w:ascii="Calibri" w:hAnsi="Calibri" w:cs="Calibri"/>
                <w:sz w:val="16"/>
                <w:szCs w:val="16"/>
              </w:rPr>
            </w:pPr>
            <w:r w:rsidRPr="008C4DF3">
              <w:rPr>
                <w:rFonts w:ascii="Calibri" w:hAnsi="Calibri"/>
                <w:b/>
                <w:color w:val="70AD47" w:themeColor="accent6"/>
                <w:sz w:val="16"/>
                <w:szCs w:val="16"/>
              </w:rPr>
              <w:t>Retroalimentación</w:t>
            </w:r>
            <w:r w:rsidRPr="008C4DF3">
              <w:rPr>
                <w:sz w:val="16"/>
                <w:szCs w:val="16"/>
              </w:rPr>
              <w:tab/>
            </w:r>
            <w:r w:rsidRPr="008C4DF3">
              <w:rPr>
                <w:rFonts w:ascii="Calibri" w:hAnsi="Calibri"/>
                <w:sz w:val="16"/>
                <w:szCs w:val="16"/>
              </w:rPr>
              <w:t>¿Existe un proceso donde las personas puedan plantear de forma segura problemas acerca de las intervenciones y proyectos específicos a la discapacidad, incluidas las quejas? ¿Cómo la organización garantiza la confidencialidad y acceso continuo a los servicios en el evento de una queja? ¿Cómo participan las mujer</w:t>
            </w:r>
            <w:r w:rsidR="008C4DF3">
              <w:rPr>
                <w:rFonts w:ascii="Calibri" w:hAnsi="Calibri"/>
                <w:sz w:val="16"/>
                <w:szCs w:val="16"/>
              </w:rPr>
              <w:t xml:space="preserve">es, hombres, niñas y niñas con </w:t>
            </w:r>
            <w:r w:rsidRPr="008C4DF3">
              <w:rPr>
                <w:rFonts w:ascii="Calibri" w:hAnsi="Calibri"/>
                <w:sz w:val="16"/>
                <w:szCs w:val="16"/>
              </w:rPr>
              <w:t xml:space="preserve">discapacidades en los procesos de retroalimentación? </w:t>
            </w:r>
          </w:p>
        </w:tc>
      </w:tr>
      <w:tr w:rsidR="006345D1" w:rsidRPr="003D5E7C" w14:paraId="03AE29BB" w14:textId="77777777" w:rsidTr="002A48A2">
        <w:trPr>
          <w:trHeight w:val="170"/>
        </w:trPr>
        <w:tc>
          <w:tcPr>
            <w:tcW w:w="528" w:type="dxa"/>
            <w:vMerge/>
            <w:textDirection w:val="btLr"/>
            <w:vAlign w:val="center"/>
          </w:tcPr>
          <w:p w14:paraId="6CD245F5" w14:textId="77777777" w:rsidR="00306150" w:rsidRPr="0033599E" w:rsidRDefault="00306150" w:rsidP="00FE7CFA">
            <w:pPr>
              <w:ind w:left="113" w:right="113"/>
              <w:jc w:val="center"/>
              <w:rPr>
                <w:rFonts w:ascii="Calibri" w:hAnsi="Calibri" w:cs="Calibri"/>
                <w:b/>
                <w:color w:val="70AD47" w:themeColor="accent6"/>
                <w:sz w:val="18"/>
                <w:szCs w:val="18"/>
              </w:rPr>
            </w:pPr>
          </w:p>
        </w:tc>
        <w:tc>
          <w:tcPr>
            <w:tcW w:w="5182" w:type="dxa"/>
          </w:tcPr>
          <w:p w14:paraId="59D2B672" w14:textId="335C5499" w:rsidR="00306150" w:rsidRPr="008C4DF3" w:rsidRDefault="00306150" w:rsidP="0033599E">
            <w:pPr>
              <w:jc w:val="right"/>
              <w:rPr>
                <w:rFonts w:ascii="Calibri" w:hAnsi="Calibri" w:cs="Calibri"/>
                <w:sz w:val="16"/>
                <w:szCs w:val="16"/>
              </w:rPr>
            </w:pPr>
            <w:r w:rsidRPr="008C4DF3">
              <w:rPr>
                <w:rFonts w:ascii="Calibri" w:hAnsi="Calibri"/>
                <w:b/>
                <w:color w:val="70AD47" w:themeColor="accent6"/>
                <w:sz w:val="16"/>
                <w:szCs w:val="16"/>
              </w:rPr>
              <w:t xml:space="preserve">Transparencia </w:t>
            </w:r>
            <w:r w:rsidRPr="008C4DF3">
              <w:rPr>
                <w:rFonts w:ascii="Calibri" w:hAnsi="Calibri"/>
                <w:sz w:val="16"/>
                <w:szCs w:val="16"/>
              </w:rPr>
              <w:t>¿La información sobre los servicios es accesible,</w:t>
            </w:r>
            <w:r w:rsidR="008C4DF3">
              <w:rPr>
                <w:rFonts w:ascii="Calibri" w:hAnsi="Calibri"/>
                <w:sz w:val="16"/>
                <w:szCs w:val="16"/>
              </w:rPr>
              <w:t xml:space="preserve"> fácil de entender y apropiada </w:t>
            </w:r>
            <w:r w:rsidRPr="008C4DF3">
              <w:rPr>
                <w:rFonts w:ascii="Calibri" w:hAnsi="Calibri"/>
                <w:sz w:val="16"/>
                <w:szCs w:val="16"/>
              </w:rPr>
              <w:t>a todos los grupos de género y edad? ¿Cómo se adapta la información para mujeres, hombres y cuidadores potencialmente aislados a través de los grupos de edad?</w:t>
            </w:r>
          </w:p>
        </w:tc>
      </w:tr>
      <w:tr w:rsidR="0033599E" w:rsidRPr="003D5E7C" w14:paraId="40C852EC" w14:textId="77777777" w:rsidTr="002A48A2">
        <w:trPr>
          <w:trHeight w:val="170"/>
        </w:trPr>
        <w:tc>
          <w:tcPr>
            <w:tcW w:w="528" w:type="dxa"/>
            <w:vMerge w:val="restart"/>
            <w:textDirection w:val="btLr"/>
            <w:vAlign w:val="center"/>
          </w:tcPr>
          <w:p w14:paraId="4B839724" w14:textId="77777777" w:rsidR="00306150" w:rsidRPr="0033599E" w:rsidRDefault="00306150" w:rsidP="00FE7CFA">
            <w:pPr>
              <w:ind w:left="113" w:right="113"/>
              <w:jc w:val="center"/>
              <w:rPr>
                <w:rFonts w:ascii="Calibri" w:hAnsi="Calibri" w:cs="Calibri"/>
                <w:b/>
                <w:color w:val="70AD47" w:themeColor="accent6"/>
                <w:sz w:val="18"/>
                <w:szCs w:val="18"/>
              </w:rPr>
            </w:pPr>
            <w:r>
              <w:rPr>
                <w:rFonts w:ascii="Calibri" w:hAnsi="Calibri"/>
                <w:b/>
                <w:sz w:val="18"/>
              </w:rPr>
              <w:t>Conjunto de revisión</w:t>
            </w:r>
          </w:p>
        </w:tc>
        <w:tc>
          <w:tcPr>
            <w:tcW w:w="5182" w:type="dxa"/>
          </w:tcPr>
          <w:p w14:paraId="124A205D" w14:textId="71561253" w:rsidR="00306150" w:rsidRPr="008C4DF3" w:rsidRDefault="00306150" w:rsidP="0033599E">
            <w:pPr>
              <w:jc w:val="right"/>
              <w:rPr>
                <w:rFonts w:ascii="Calibri" w:hAnsi="Calibri" w:cs="Calibri"/>
                <w:sz w:val="16"/>
                <w:szCs w:val="16"/>
              </w:rPr>
            </w:pPr>
            <w:r w:rsidRPr="008C4DF3">
              <w:rPr>
                <w:rFonts w:ascii="Calibri" w:hAnsi="Calibri"/>
                <w:b/>
                <w:color w:val="70AD47" w:themeColor="accent6"/>
                <w:sz w:val="16"/>
                <w:szCs w:val="16"/>
              </w:rPr>
              <w:t xml:space="preserve">Beneficios (clave) </w:t>
            </w:r>
            <w:r w:rsidRPr="008C4DF3">
              <w:rPr>
                <w:rFonts w:ascii="Calibri" w:hAnsi="Calibri"/>
                <w:sz w:val="16"/>
                <w:szCs w:val="16"/>
              </w:rPr>
              <w:t>¿Se desglosan las metas e indicadores por sexo y edad? ¿Demuestran que la intervención está llega</w:t>
            </w:r>
            <w:r w:rsidR="008C4DF3">
              <w:rPr>
                <w:rFonts w:ascii="Calibri" w:hAnsi="Calibri"/>
                <w:sz w:val="16"/>
                <w:szCs w:val="16"/>
              </w:rPr>
              <w:t>ndo a las mujeres y hombres con</w:t>
            </w:r>
            <w:r w:rsidRPr="008C4DF3">
              <w:rPr>
                <w:rFonts w:ascii="Calibri" w:hAnsi="Calibri"/>
                <w:sz w:val="16"/>
                <w:szCs w:val="16"/>
              </w:rPr>
              <w:t xml:space="preserve"> discapacidades de edades diferentes? ¿Se benefician las mujeres, hombres, niñas y niñas de las intervenciones específicas a la discapacidad? </w:t>
            </w:r>
          </w:p>
        </w:tc>
      </w:tr>
      <w:tr w:rsidR="00286EBB" w:rsidRPr="003D5E7C" w14:paraId="54295E49" w14:textId="77777777" w:rsidTr="002A48A2">
        <w:trPr>
          <w:trHeight w:val="413"/>
        </w:trPr>
        <w:tc>
          <w:tcPr>
            <w:tcW w:w="528" w:type="dxa"/>
            <w:vMerge/>
          </w:tcPr>
          <w:p w14:paraId="6021F7FB" w14:textId="77777777" w:rsidR="00306150" w:rsidRPr="003D5E7C" w:rsidRDefault="00306150" w:rsidP="00FE7CFA">
            <w:pPr>
              <w:rPr>
                <w:rFonts w:ascii="Calibri" w:hAnsi="Calibri" w:cs="Calibri"/>
                <w:b/>
                <w:color w:val="70AD47" w:themeColor="accent6"/>
                <w:sz w:val="20"/>
                <w:szCs w:val="20"/>
              </w:rPr>
            </w:pPr>
          </w:p>
        </w:tc>
        <w:tc>
          <w:tcPr>
            <w:tcW w:w="5182" w:type="dxa"/>
          </w:tcPr>
          <w:p w14:paraId="123346A2" w14:textId="05D097C9" w:rsidR="00306150" w:rsidRPr="008C4DF3" w:rsidRDefault="00306150" w:rsidP="0033599E">
            <w:pPr>
              <w:jc w:val="right"/>
              <w:rPr>
                <w:rFonts w:ascii="Calibri" w:hAnsi="Calibri" w:cs="Calibri"/>
                <w:sz w:val="16"/>
                <w:szCs w:val="16"/>
              </w:rPr>
            </w:pPr>
            <w:r w:rsidRPr="008C4DF3">
              <w:rPr>
                <w:rFonts w:ascii="Calibri" w:hAnsi="Calibri"/>
                <w:b/>
                <w:color w:val="70AD47" w:themeColor="accent6"/>
                <w:sz w:val="16"/>
                <w:szCs w:val="16"/>
              </w:rPr>
              <w:t>Satisfacción</w:t>
            </w:r>
            <w:r w:rsidRPr="008C4DF3">
              <w:rPr>
                <w:rFonts w:ascii="Calibri" w:hAnsi="Calibri"/>
                <w:sz w:val="16"/>
                <w:szCs w:val="16"/>
              </w:rPr>
              <w:t xml:space="preserve"> ¿Están las mujeres y hombres con discapacidades y cuidadores en distintos grupos de edad igualmente satisfechos con la asistencia y entrega?  </w:t>
            </w:r>
          </w:p>
        </w:tc>
      </w:tr>
      <w:tr w:rsidR="00286EBB" w:rsidRPr="003D5E7C" w14:paraId="07C7EA13" w14:textId="77777777" w:rsidTr="002A48A2">
        <w:trPr>
          <w:trHeight w:val="990"/>
        </w:trPr>
        <w:tc>
          <w:tcPr>
            <w:tcW w:w="528" w:type="dxa"/>
            <w:vMerge/>
          </w:tcPr>
          <w:p w14:paraId="52130184" w14:textId="77777777" w:rsidR="00306150" w:rsidRPr="003D5E7C" w:rsidRDefault="00306150" w:rsidP="00FE7CFA">
            <w:pPr>
              <w:rPr>
                <w:rFonts w:ascii="Calibri" w:hAnsi="Calibri" w:cs="Calibri"/>
                <w:b/>
                <w:color w:val="70AD47" w:themeColor="accent6"/>
                <w:sz w:val="20"/>
                <w:szCs w:val="20"/>
              </w:rPr>
            </w:pPr>
          </w:p>
        </w:tc>
        <w:tc>
          <w:tcPr>
            <w:tcW w:w="5182" w:type="dxa"/>
          </w:tcPr>
          <w:p w14:paraId="3E2E0D7B" w14:textId="0C0B709B" w:rsidR="00306150" w:rsidRPr="008C4DF3" w:rsidRDefault="00306150" w:rsidP="00FE7CFA">
            <w:pPr>
              <w:rPr>
                <w:rFonts w:ascii="Calibri" w:hAnsi="Calibri" w:cs="Calibri"/>
                <w:sz w:val="16"/>
                <w:szCs w:val="16"/>
              </w:rPr>
            </w:pPr>
            <w:r w:rsidRPr="008C4DF3">
              <w:rPr>
                <w:rFonts w:ascii="Calibri" w:hAnsi="Calibri"/>
                <w:b/>
                <w:color w:val="70AD47" w:themeColor="accent6"/>
                <w:sz w:val="16"/>
                <w:szCs w:val="16"/>
              </w:rPr>
              <w:t>Problemas del proyecto</w:t>
            </w:r>
            <w:r w:rsidRPr="008C4DF3">
              <w:rPr>
                <w:sz w:val="16"/>
                <w:szCs w:val="16"/>
              </w:rPr>
              <w:t xml:space="preserve"> </w:t>
            </w:r>
            <w:r w:rsidRPr="008C4DF3">
              <w:rPr>
                <w:rFonts w:ascii="Calibri" w:hAnsi="Calibri"/>
                <w:sz w:val="16"/>
                <w:szCs w:val="16"/>
              </w:rPr>
              <w:t xml:space="preserve">¿El proyecto consulta regularmente con mujeres, hombres, niñas y niñas con discapacidades y sus familias para identificar problemas? ¿Son diferentes las barreras y consecuencias negativas dependiendo de los grupos de género y edad? ¿Cómo planea mejorar el proyecto? ¿Se abordan la discriminación o exclusión de los servicios específicos a la discapacidad? </w:t>
            </w:r>
          </w:p>
        </w:tc>
      </w:tr>
    </w:tbl>
    <w:p w14:paraId="0E518DBA" w14:textId="77777777" w:rsidR="00AE61AD" w:rsidRDefault="00AE61AD">
      <w:pPr>
        <w:rPr>
          <w:rFonts w:ascii="Calibri" w:hAnsi="Calibri" w:cs="Calibri"/>
          <w:b/>
          <w:color w:val="000000"/>
          <w:sz w:val="20"/>
          <w:szCs w:val="20"/>
          <w:u w:val="single"/>
        </w:rPr>
        <w:sectPr w:rsidR="00AE61AD" w:rsidSect="006356B1">
          <w:headerReference w:type="even" r:id="rId8"/>
          <w:headerReference w:type="default" r:id="rId9"/>
          <w:footerReference w:type="even" r:id="rId10"/>
          <w:footerReference w:type="default" r:id="rId11"/>
          <w:headerReference w:type="first" r:id="rId12"/>
          <w:footerReference w:type="first" r:id="rId13"/>
          <w:pgSz w:w="12240" w:h="15840"/>
          <w:pgMar w:top="544" w:right="1469" w:bottom="113" w:left="709" w:header="720" w:footer="0" w:gutter="0"/>
          <w:cols w:num="2" w:space="566"/>
          <w:docGrid w:linePitch="360"/>
        </w:sectPr>
      </w:pPr>
    </w:p>
    <w:p w14:paraId="58F04B3A" w14:textId="4F7D206B" w:rsidR="00FF7194" w:rsidRDefault="00FF7194">
      <w:pPr>
        <w:rPr>
          <w:rFonts w:ascii="Calibri" w:hAnsi="Calibri" w:cs="Calibri"/>
          <w:b/>
          <w:color w:val="000000"/>
          <w:sz w:val="20"/>
          <w:szCs w:val="20"/>
          <w:u w:val="single"/>
        </w:rPr>
      </w:pPr>
    </w:p>
    <w:p w14:paraId="745174DA" w14:textId="77ABE264" w:rsidR="0043693B" w:rsidRPr="00440441" w:rsidRDefault="008E50AE" w:rsidP="00440441">
      <w:pPr>
        <w:spacing w:after="120" w:line="240" w:lineRule="auto"/>
        <w:ind w:left="360"/>
        <w:jc w:val="center"/>
        <w:rPr>
          <w:rFonts w:ascii="Calibri" w:hAnsi="Calibri" w:cs="Calibri"/>
          <w:b/>
          <w:sz w:val="24"/>
          <w:szCs w:val="24"/>
          <w:u w:val="single"/>
        </w:rPr>
      </w:pPr>
      <w:r>
        <w:rPr>
          <w:rFonts w:ascii="Calibri" w:hAnsi="Calibri"/>
          <w:b/>
          <w:color w:val="000000"/>
          <w:sz w:val="24"/>
          <w:u w:val="single"/>
        </w:rPr>
        <w:lastRenderedPageBreak/>
        <w:t>Ejemplo GAM en programación específica a la discapacidad</w:t>
      </w:r>
    </w:p>
    <w:p w14:paraId="1AFDBFA1" w14:textId="1DC5BE0E" w:rsidR="00E412FE" w:rsidRPr="00E412FE" w:rsidRDefault="00E412FE" w:rsidP="00E412FE">
      <w:pPr>
        <w:spacing w:after="120" w:line="240" w:lineRule="auto"/>
        <w:ind w:left="360"/>
        <w:rPr>
          <w:rFonts w:ascii="Calibri" w:hAnsi="Calibri" w:cs="Calibri"/>
          <w:i/>
          <w:sz w:val="20"/>
          <w:szCs w:val="20"/>
        </w:rPr>
      </w:pPr>
      <w:r>
        <w:rPr>
          <w:rFonts w:ascii="Calibri" w:hAnsi="Calibri"/>
          <w:i/>
          <w:sz w:val="20"/>
        </w:rPr>
        <w:t>El siguiente ejemplo de programación específica a la discapacidad sería el Código 4M -   ¿puede averiguar por qué? Consulte el Resumen GAM.</w:t>
      </w:r>
    </w:p>
    <w:tbl>
      <w:tblPr>
        <w:tblStyle w:val="Tablaconcuadrcula"/>
        <w:tblW w:w="10343" w:type="dxa"/>
        <w:tblLook w:val="04A0" w:firstRow="1" w:lastRow="0" w:firstColumn="1" w:lastColumn="0" w:noHBand="0" w:noVBand="1"/>
      </w:tblPr>
      <w:tblGrid>
        <w:gridCol w:w="4248"/>
        <w:gridCol w:w="3260"/>
        <w:gridCol w:w="2835"/>
      </w:tblGrid>
      <w:tr w:rsidR="00E412FE" w14:paraId="0B7A1733" w14:textId="77777777" w:rsidTr="009E5227">
        <w:trPr>
          <w:trHeight w:val="8580"/>
        </w:trPr>
        <w:tc>
          <w:tcPr>
            <w:tcW w:w="4248" w:type="dxa"/>
            <w:tcBorders>
              <w:bottom w:val="single" w:sz="4" w:space="0" w:color="auto"/>
            </w:tcBorders>
          </w:tcPr>
          <w:p w14:paraId="34FC9A65" w14:textId="327BC257" w:rsidR="004810A6" w:rsidRPr="008C4DF3" w:rsidRDefault="008C4DF3" w:rsidP="009014C8">
            <w:pPr>
              <w:spacing w:after="60"/>
              <w:ind w:right="315"/>
              <w:rPr>
                <w:rFonts w:ascii="Calibri" w:hAnsi="Calibri" w:cs="Calibri"/>
                <w:sz w:val="18"/>
                <w:szCs w:val="18"/>
              </w:rPr>
            </w:pPr>
            <w:r>
              <w:rPr>
                <w:rFonts w:ascii="Calibri" w:hAnsi="Calibri"/>
                <w:b/>
                <w:sz w:val="18"/>
                <w:szCs w:val="18"/>
              </w:rPr>
              <w:t xml:space="preserve">GEM </w:t>
            </w:r>
            <w:r w:rsidR="004810A6" w:rsidRPr="008C4DF3">
              <w:rPr>
                <w:rFonts w:ascii="Calibri" w:hAnsi="Calibri"/>
                <w:b/>
                <w:sz w:val="18"/>
                <w:szCs w:val="18"/>
              </w:rPr>
              <w:t>A clave: Análisis de género (</w:t>
            </w:r>
            <w:r w:rsidR="004810A6" w:rsidRPr="008C4DF3">
              <w:rPr>
                <w:rFonts w:ascii="Calibri" w:hAnsi="Calibri"/>
                <w:sz w:val="18"/>
                <w:szCs w:val="18"/>
              </w:rPr>
              <w:t xml:space="preserve">Las necesidades, roles y dinámicas de mujeres, niñas, niños y hombres en diferentes grupos de edad son comprendidas) </w:t>
            </w:r>
          </w:p>
          <w:p w14:paraId="59BBEADC" w14:textId="30A01EB6" w:rsidR="004810A6" w:rsidRPr="008C4DF3" w:rsidRDefault="004810A6" w:rsidP="009014C8">
            <w:pPr>
              <w:spacing w:after="60"/>
              <w:ind w:right="315"/>
              <w:rPr>
                <w:rFonts w:ascii="Calibri" w:hAnsi="Calibri" w:cs="Calibri"/>
                <w:sz w:val="18"/>
                <w:szCs w:val="18"/>
              </w:rPr>
            </w:pPr>
            <w:r w:rsidRPr="008C4DF3">
              <w:rPr>
                <w:rFonts w:ascii="Calibri" w:hAnsi="Calibri"/>
                <w:sz w:val="18"/>
                <w:szCs w:val="18"/>
              </w:rPr>
              <w:t>Los refugiados que llegan a Bangladesh desde Myanmar son en su mayor</w:t>
            </w:r>
            <w:r w:rsidR="008C4DF3">
              <w:rPr>
                <w:rFonts w:ascii="Calibri" w:hAnsi="Calibri"/>
                <w:sz w:val="18"/>
                <w:szCs w:val="18"/>
              </w:rPr>
              <w:t xml:space="preserve">ía mujeres y niños, que llegan </w:t>
            </w:r>
            <w:r w:rsidRPr="008C4DF3">
              <w:rPr>
                <w:rFonts w:ascii="Calibri" w:hAnsi="Calibri"/>
                <w:sz w:val="18"/>
                <w:szCs w:val="18"/>
              </w:rPr>
              <w:t>con lesiones ocasionadas por disparos, metralla, fuego, minas terrestres y miembros amputados.  Los proveedores de servicios específicos a la discapacidad están rápidamente ampliand</w:t>
            </w:r>
            <w:r w:rsidR="008C4DF3">
              <w:rPr>
                <w:rFonts w:ascii="Calibri" w:hAnsi="Calibri"/>
                <w:sz w:val="18"/>
                <w:szCs w:val="18"/>
              </w:rPr>
              <w:t xml:space="preserve">o las operaciones para brindar </w:t>
            </w:r>
            <w:r w:rsidRPr="008C4DF3">
              <w:rPr>
                <w:rFonts w:ascii="Calibri" w:hAnsi="Calibri"/>
                <w:sz w:val="18"/>
                <w:szCs w:val="18"/>
              </w:rPr>
              <w:t xml:space="preserve">artículos no alimentarios de emergencia, servicios de rehabilitación y apoyo psicosocial a personas con discapacidades y sus familias. </w:t>
            </w:r>
          </w:p>
          <w:p w14:paraId="12A91EFD" w14:textId="296A4765" w:rsidR="00E412FE" w:rsidRPr="008C4DF3" w:rsidRDefault="006169BA" w:rsidP="009E5227">
            <w:pPr>
              <w:spacing w:after="60"/>
              <w:ind w:right="315"/>
              <w:rPr>
                <w:rFonts w:ascii="Calibri" w:hAnsi="Calibri" w:cs="Calibri"/>
                <w:sz w:val="18"/>
                <w:szCs w:val="18"/>
              </w:rPr>
            </w:pPr>
            <w:r w:rsidRPr="008C4DF3">
              <w:rPr>
                <w:rFonts w:ascii="Calibri" w:hAnsi="Calibri" w:cs="Calibri"/>
                <w:noProof/>
                <w:sz w:val="18"/>
                <w:szCs w:val="18"/>
                <w:lang w:val="es-SV" w:eastAsia="es-SV" w:bidi="ar-SA"/>
              </w:rPr>
              <mc:AlternateContent>
                <mc:Choice Requires="wps">
                  <w:drawing>
                    <wp:anchor distT="0" distB="0" distL="114300" distR="114300" simplePos="0" relativeHeight="251663360" behindDoc="0" locked="0" layoutInCell="1" allowOverlap="1" wp14:anchorId="453E3AE1" wp14:editId="5C111BDD">
                      <wp:simplePos x="0" y="0"/>
                      <wp:positionH relativeFrom="column">
                        <wp:posOffset>2270760</wp:posOffset>
                      </wp:positionH>
                      <wp:positionV relativeFrom="paragraph">
                        <wp:posOffset>565150</wp:posOffset>
                      </wp:positionV>
                      <wp:extent cx="387350" cy="301625"/>
                      <wp:effectExtent l="0" t="19050" r="31750" b="41275"/>
                      <wp:wrapNone/>
                      <wp:docPr id="10" name="Arrow: Right 10"/>
                      <wp:cNvGraphicFramePr/>
                      <a:graphic xmlns:a="http://schemas.openxmlformats.org/drawingml/2006/main">
                        <a:graphicData uri="http://schemas.microsoft.com/office/word/2010/wordprocessingShape">
                          <wps:wsp>
                            <wps:cNvSpPr/>
                            <wps:spPr>
                              <a:xfrm>
                                <a:off x="0" y="0"/>
                                <a:ext cx="387350" cy="3016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xmlns:o="urn:schemas-microsoft-com:office:office" xmlns:w14="http://schemas.microsoft.com/office/word/2010/wordml" xmlns:v="urn:schemas-microsoft-com:vml" w14:anchorId="112A75E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xmlns:o="urn:schemas-microsoft-com:office:office" xmlns:v="urn:schemas-microsoft-com:vml" id="Arrow: Right 10" o:spid="_x0000_s1026" type="#_x0000_t13" style="position:absolute;margin-left:178.8pt;margin-top:44.5pt;width:30.5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" adj="13190" fillcolor="#538135 [2409]" strokecolor="#1f3763 [1604]" strokeweight="1pt"/>
                  </w:pict>
                </mc:Fallback>
              </mc:AlternateContent>
            </w:r>
            <w:r w:rsidRPr="008C4DF3">
              <w:rPr>
                <w:sz w:val="18"/>
                <w:szCs w:val="18"/>
              </w:rPr>
              <w:t>En el Bazar de Cox, las mujeres y niñas con discapacidades enfrentan una mayor discriminación social y estigma debido a normas y actitudes de género relacionadas con la discapacidad.</w:t>
            </w:r>
            <w:r w:rsidRPr="008C4DF3">
              <w:rPr>
                <w:rFonts w:ascii="Calibri" w:hAnsi="Calibri"/>
                <w:sz w:val="18"/>
                <w:szCs w:val="18"/>
              </w:rPr>
              <w:t xml:space="preserve"> También enfrentan mayor riesgo de violencia sexual, y como resultado, con frecuencia se encuentran </w:t>
            </w:r>
            <w:r w:rsidR="008C4DF3">
              <w:rPr>
                <w:rFonts w:ascii="Calibri" w:hAnsi="Calibri"/>
                <w:sz w:val="18"/>
                <w:szCs w:val="18"/>
              </w:rPr>
              <w:t xml:space="preserve">aisladas en </w:t>
            </w:r>
            <w:r w:rsidRPr="008C4DF3">
              <w:rPr>
                <w:rFonts w:ascii="Calibri" w:hAnsi="Calibri"/>
                <w:sz w:val="18"/>
                <w:szCs w:val="18"/>
              </w:rPr>
              <w:t>sus hogares con poco acceso a la información sobre los servicios y actividades</w:t>
            </w:r>
            <w:r w:rsidR="00AB2FCE">
              <w:rPr>
                <w:rFonts w:ascii="Calibri" w:hAnsi="Calibri"/>
                <w:sz w:val="18"/>
                <w:szCs w:val="18"/>
              </w:rPr>
              <w:t>.</w:t>
            </w:r>
            <w:r w:rsidRPr="008C4DF3">
              <w:rPr>
                <w:rFonts w:ascii="Calibri" w:hAnsi="Calibri"/>
                <w:sz w:val="18"/>
                <w:szCs w:val="18"/>
              </w:rPr>
              <w:t xml:space="preserve"> </w:t>
            </w:r>
            <w:r w:rsidR="008C4DF3" w:rsidRPr="008C4DF3">
              <w:rPr>
                <w:rFonts w:ascii="Calibri" w:hAnsi="Calibri"/>
                <w:sz w:val="18"/>
                <w:szCs w:val="18"/>
              </w:rPr>
              <w:t>Las mujeres mayores</w:t>
            </w:r>
            <w:r w:rsidRPr="008C4DF3">
              <w:rPr>
                <w:rFonts w:ascii="Calibri" w:hAnsi="Calibri"/>
                <w:sz w:val="18"/>
                <w:szCs w:val="18"/>
              </w:rPr>
              <w:t xml:space="preserve"> con discapacidades enfrentan abuso emocional, financiero y </w:t>
            </w:r>
            <w:r w:rsidR="008C4DF3" w:rsidRPr="008C4DF3">
              <w:rPr>
                <w:rFonts w:ascii="Calibri" w:hAnsi="Calibri"/>
                <w:sz w:val="18"/>
                <w:szCs w:val="18"/>
              </w:rPr>
              <w:t>físico,</w:t>
            </w:r>
            <w:r w:rsidRPr="008C4DF3">
              <w:rPr>
                <w:rFonts w:ascii="Calibri" w:hAnsi="Calibri"/>
                <w:sz w:val="18"/>
                <w:szCs w:val="18"/>
              </w:rPr>
              <w:t xml:space="preserve"> así como barreras físicas para acceder a los servicios. Las mujeres y niñas que viven con familiares discapacitados generalmente asumen mayores roles de prestación de cuidados y tienden a estar aisladas con pocas redes de apoyo. Los niños con discapacidades intelectua</w:t>
            </w:r>
            <w:r w:rsidR="008C4DF3">
              <w:rPr>
                <w:rFonts w:ascii="Calibri" w:hAnsi="Calibri"/>
                <w:sz w:val="18"/>
                <w:szCs w:val="18"/>
              </w:rPr>
              <w:t>les sufren violencia y abuso e</w:t>
            </w:r>
            <w:bookmarkStart w:id="0" w:name="_GoBack"/>
            <w:bookmarkEnd w:id="0"/>
            <w:r w:rsidR="008C4DF3">
              <w:rPr>
                <w:rFonts w:ascii="Calibri" w:hAnsi="Calibri"/>
                <w:sz w:val="18"/>
                <w:szCs w:val="18"/>
              </w:rPr>
              <w:t>n</w:t>
            </w:r>
            <w:r w:rsidRPr="008C4DF3">
              <w:rPr>
                <w:rFonts w:ascii="Calibri" w:hAnsi="Calibri"/>
                <w:sz w:val="18"/>
                <w:szCs w:val="18"/>
              </w:rPr>
              <w:t xml:space="preserve"> la comunidad y son excluidos de actividades de educación informal debido a suposiciones y estereotipos negativos acerca de su capacidad. Los hombres con discapacidades a lo largo de su vida también están excluidos de activi</w:t>
            </w:r>
            <w:r w:rsidR="008C4DF3">
              <w:rPr>
                <w:rFonts w:ascii="Calibri" w:hAnsi="Calibri"/>
                <w:sz w:val="18"/>
                <w:szCs w:val="18"/>
              </w:rPr>
              <w:t xml:space="preserve">dades de generación de ingresos, </w:t>
            </w:r>
            <w:r w:rsidRPr="008C4DF3">
              <w:rPr>
                <w:rFonts w:ascii="Calibri" w:hAnsi="Calibri"/>
                <w:sz w:val="18"/>
                <w:szCs w:val="18"/>
              </w:rPr>
              <w:t xml:space="preserve">pero están en mejores condiciones para acceder a los servicios de rehabilitación y asistencia. </w:t>
            </w:r>
          </w:p>
        </w:tc>
        <w:tc>
          <w:tcPr>
            <w:tcW w:w="3260" w:type="dxa"/>
            <w:tcBorders>
              <w:bottom w:val="single" w:sz="4" w:space="0" w:color="auto"/>
            </w:tcBorders>
          </w:tcPr>
          <w:p w14:paraId="7D4C4146" w14:textId="172F877C" w:rsidR="004810A6" w:rsidRPr="008C4DF3" w:rsidRDefault="004810A6" w:rsidP="004810A6">
            <w:pPr>
              <w:spacing w:after="60"/>
              <w:rPr>
                <w:rFonts w:ascii="Calibri" w:hAnsi="Calibri" w:cs="Calibri"/>
                <w:b/>
                <w:sz w:val="18"/>
                <w:szCs w:val="18"/>
              </w:rPr>
            </w:pPr>
            <w:r w:rsidRPr="008C4DF3">
              <w:rPr>
                <w:rFonts w:ascii="Calibri" w:hAnsi="Calibri"/>
                <w:b/>
                <w:sz w:val="18"/>
                <w:szCs w:val="18"/>
              </w:rPr>
              <w:t xml:space="preserve">GEM D clave: Actividades personalizadas </w:t>
            </w:r>
            <w:r w:rsidRPr="008C4DF3">
              <w:rPr>
                <w:sz w:val="18"/>
                <w:szCs w:val="18"/>
              </w:rPr>
              <w:t>(</w:t>
            </w:r>
            <w:r w:rsidRPr="008C4DF3">
              <w:rPr>
                <w:rFonts w:ascii="Calibri" w:hAnsi="Calibri"/>
                <w:sz w:val="18"/>
                <w:szCs w:val="18"/>
              </w:rPr>
              <w:t>¿Cómo respondió el proyecto al análisis de género?</w:t>
            </w:r>
          </w:p>
          <w:p w14:paraId="7D168CAC" w14:textId="45AD6FC7" w:rsidR="00E412FE" w:rsidRPr="008C4DF3" w:rsidRDefault="00E36B99" w:rsidP="008C4DF3">
            <w:pPr>
              <w:spacing w:after="60"/>
              <w:ind w:right="174"/>
              <w:rPr>
                <w:rFonts w:ascii="Calibri" w:hAnsi="Calibri" w:cs="Calibri"/>
                <w:sz w:val="18"/>
                <w:szCs w:val="18"/>
              </w:rPr>
            </w:pPr>
            <w:r w:rsidRPr="008C4DF3">
              <w:rPr>
                <w:rFonts w:ascii="Calibri" w:hAnsi="Calibri" w:cs="Calibri"/>
                <w:noProof/>
                <w:sz w:val="18"/>
                <w:szCs w:val="18"/>
                <w:lang w:val="es-SV" w:eastAsia="es-SV" w:bidi="ar-SA"/>
              </w:rPr>
              <mc:AlternateContent>
                <mc:Choice Requires="wps">
                  <w:drawing>
                    <wp:anchor distT="0" distB="0" distL="114300" distR="114300" simplePos="0" relativeHeight="251665408" behindDoc="0" locked="0" layoutInCell="1" allowOverlap="1" wp14:anchorId="3C79DFBA" wp14:editId="088BA61A">
                      <wp:simplePos x="0" y="0"/>
                      <wp:positionH relativeFrom="column">
                        <wp:posOffset>1656080</wp:posOffset>
                      </wp:positionH>
                      <wp:positionV relativeFrom="paragraph">
                        <wp:posOffset>2046605</wp:posOffset>
                      </wp:positionV>
                      <wp:extent cx="412750" cy="301924"/>
                      <wp:effectExtent l="0" t="19050" r="44450" b="41275"/>
                      <wp:wrapNone/>
                      <wp:docPr id="11" name="Arrow: Right 11"/>
                      <wp:cNvGraphicFramePr/>
                      <a:graphic xmlns:a="http://schemas.openxmlformats.org/drawingml/2006/main">
                        <a:graphicData uri="http://schemas.microsoft.com/office/word/2010/wordprocessingShape">
                          <wps:wsp>
                            <wps:cNvSpPr/>
                            <wps:spPr>
                              <a:xfrm>
                                <a:off x="0" y="0"/>
                                <a:ext cx="412750" cy="301924"/>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xmlns:o="urn:schemas-microsoft-com:office:office" xmlns:w14="http://schemas.microsoft.com/office/word/2010/wordml" xmlns:v="urn:schemas-microsoft-com:vml" w14:anchorId="47086F46" id="Arrow: Right 11" o:spid="_x0000_s1026" type="#_x0000_t13" style="position:absolute;margin-left:130.4pt;margin-top:161.15pt;width:32.5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" adj="13700" fillcolor="#538135 [2409]" strokecolor="#1f3763 [1604]" strokeweight="1pt"/>
                  </w:pict>
                </mc:Fallback>
              </mc:AlternateContent>
            </w:r>
            <w:r w:rsidRPr="008C4DF3">
              <w:rPr>
                <w:rFonts w:ascii="Calibri" w:hAnsi="Calibri"/>
                <w:sz w:val="18"/>
                <w:szCs w:val="18"/>
              </w:rPr>
              <w:t xml:space="preserve">Un equipo móvil femenino hizo extensión específica para mujeres de todas las edades con discapacidades y cuidadores, brindando información, bienes, servicios y remisiones, incluidas sesiones </w:t>
            </w:r>
            <w:r w:rsidR="008C4DF3">
              <w:rPr>
                <w:rFonts w:ascii="Calibri" w:hAnsi="Calibri"/>
                <w:sz w:val="18"/>
                <w:szCs w:val="18"/>
              </w:rPr>
              <w:t xml:space="preserve">de apoyo psicosocial grupal en </w:t>
            </w:r>
            <w:r w:rsidRPr="008C4DF3">
              <w:rPr>
                <w:rFonts w:ascii="Calibri" w:hAnsi="Calibri"/>
                <w:sz w:val="18"/>
                <w:szCs w:val="18"/>
              </w:rPr>
              <w:t xml:space="preserve">los hogares.  Los comités comunitarios tienen igual representación de mujeres y hombres, incluidas personas mayores y más jóvenes, y el 20% de movilizadores comunitarios eran personas con discapacidades. Se consulta a las personas, y se organiza transporte seguro para acceder al centro de rehabilitación, donde se ejecutan actividades simultáneas para cuidadores femeninos. Los movilizadores también </w:t>
            </w:r>
            <w:r w:rsidR="008C4DF3">
              <w:rPr>
                <w:rFonts w:ascii="Calibri" w:hAnsi="Calibri"/>
                <w:sz w:val="18"/>
                <w:szCs w:val="18"/>
              </w:rPr>
              <w:t xml:space="preserve">brindan capacitación </w:t>
            </w:r>
            <w:r w:rsidRPr="008C4DF3">
              <w:rPr>
                <w:rFonts w:ascii="Calibri" w:hAnsi="Calibri"/>
                <w:sz w:val="18"/>
                <w:szCs w:val="18"/>
              </w:rPr>
              <w:t>sobre Normas Humanitarias de Inclusión y concienciación sobre discapacidad para actores humanitarios y miembros de la comunidad, reconociendo la discriminación cruzada co</w:t>
            </w:r>
            <w:r w:rsidR="008C4DF3">
              <w:rPr>
                <w:rFonts w:ascii="Calibri" w:hAnsi="Calibri"/>
                <w:sz w:val="18"/>
                <w:szCs w:val="18"/>
              </w:rPr>
              <w:t xml:space="preserve">ntra mujeres, niñas, hombres y niños con </w:t>
            </w:r>
            <w:r w:rsidRPr="008C4DF3">
              <w:rPr>
                <w:rFonts w:ascii="Calibri" w:hAnsi="Calibri"/>
                <w:sz w:val="18"/>
                <w:szCs w:val="18"/>
              </w:rPr>
              <w:t>discapacidades, y apoyando su inclusión en otras intervenciones apropi</w:t>
            </w:r>
            <w:r w:rsidR="008C4DF3">
              <w:rPr>
                <w:rFonts w:ascii="Calibri" w:hAnsi="Calibri"/>
                <w:sz w:val="18"/>
                <w:szCs w:val="18"/>
              </w:rPr>
              <w:t xml:space="preserve">adas al género y la edad en el </w:t>
            </w:r>
            <w:r w:rsidRPr="008C4DF3">
              <w:rPr>
                <w:rFonts w:ascii="Calibri" w:hAnsi="Calibri"/>
                <w:sz w:val="18"/>
                <w:szCs w:val="18"/>
              </w:rPr>
              <w:t xml:space="preserve">campamento. </w:t>
            </w:r>
          </w:p>
        </w:tc>
        <w:tc>
          <w:tcPr>
            <w:tcW w:w="2835" w:type="dxa"/>
            <w:tcBorders>
              <w:bottom w:val="single" w:sz="4" w:space="0" w:color="auto"/>
            </w:tcBorders>
          </w:tcPr>
          <w:p w14:paraId="61C9973F" w14:textId="0BADC3CE" w:rsidR="004810A6" w:rsidRPr="008C4DF3" w:rsidRDefault="004810A6" w:rsidP="004810A6">
            <w:pPr>
              <w:spacing w:after="60"/>
              <w:rPr>
                <w:rFonts w:ascii="Calibri" w:hAnsi="Calibri" w:cs="Calibri"/>
                <w:sz w:val="18"/>
                <w:szCs w:val="18"/>
              </w:rPr>
            </w:pPr>
            <w:r w:rsidRPr="008C4DF3">
              <w:rPr>
                <w:rFonts w:ascii="Calibri" w:hAnsi="Calibri"/>
                <w:b/>
                <w:sz w:val="18"/>
                <w:szCs w:val="18"/>
              </w:rPr>
              <w:t>G</w:t>
            </w:r>
            <w:r w:rsidR="008C4DF3">
              <w:rPr>
                <w:rFonts w:ascii="Calibri" w:hAnsi="Calibri"/>
                <w:b/>
                <w:sz w:val="18"/>
                <w:szCs w:val="18"/>
              </w:rPr>
              <w:t xml:space="preserve">EM </w:t>
            </w:r>
            <w:r w:rsidRPr="008C4DF3">
              <w:rPr>
                <w:rFonts w:ascii="Calibri" w:hAnsi="Calibri"/>
                <w:b/>
                <w:sz w:val="18"/>
                <w:szCs w:val="18"/>
              </w:rPr>
              <w:t>J clave: Beneficios</w:t>
            </w:r>
            <w:r w:rsidRPr="008C4DF3">
              <w:rPr>
                <w:rFonts w:ascii="Calibri" w:hAnsi="Calibri"/>
                <w:sz w:val="18"/>
                <w:szCs w:val="18"/>
              </w:rPr>
              <w:t xml:space="preserve"> (¿Qué beneficios ganaron los grupos afectados?)</w:t>
            </w:r>
          </w:p>
          <w:p w14:paraId="651FAE99" w14:textId="248003A8" w:rsidR="00E412FE" w:rsidRPr="008C4DF3" w:rsidRDefault="004810A6" w:rsidP="009E5227">
            <w:pPr>
              <w:spacing w:after="60"/>
              <w:rPr>
                <w:rFonts w:ascii="Calibri" w:hAnsi="Calibri" w:cs="Calibri"/>
                <w:sz w:val="18"/>
                <w:szCs w:val="18"/>
              </w:rPr>
            </w:pPr>
            <w:r w:rsidRPr="008C4DF3">
              <w:rPr>
                <w:rFonts w:ascii="Calibri" w:hAnsi="Calibri"/>
                <w:sz w:val="18"/>
                <w:szCs w:val="18"/>
              </w:rPr>
              <w:t>Las mujeres y niñas con discapacidades reportaron recibir artículos apropiados y asistencia, y una mejor comprensión de los servicios de apoyo disponibles.  Los cuidadores femeninos accedieron a los servicios y apoyo y ampliaron sus redes a través de actividades del centro de rehabilitación. Los niños con discapacidades intelectuales reportaron tener acceso a espacios acogedores para la infancia junto con otros en sus grupos de edad. Sin embargo, los padres no permitieron que las niñas con discapacidades intelectuales asistieran a estas actividades por temor a abuso y explotación cuando viajan hacia y desde los espacios acogedores para la infancia. Los jóvenes con discapacidades, en su mayoría hombres, reportaron elegibilidad e inclusión en actividades y oportunidades de medios de subsistencia. Sin embargo, las personas mayores con discapacidades siguen excluidos de oportunidades de medios de subsistencia. Las mujeres, niñas, niño</w:t>
            </w:r>
            <w:r w:rsidR="008C4DF3">
              <w:rPr>
                <w:rFonts w:ascii="Calibri" w:hAnsi="Calibri"/>
                <w:sz w:val="18"/>
                <w:szCs w:val="18"/>
              </w:rPr>
              <w:t xml:space="preserve">s y hombres con discapacidades </w:t>
            </w:r>
            <w:r w:rsidRPr="008C4DF3">
              <w:rPr>
                <w:rFonts w:ascii="Calibri" w:hAnsi="Calibri"/>
                <w:sz w:val="18"/>
                <w:szCs w:val="18"/>
              </w:rPr>
              <w:t xml:space="preserve">todos recibieron algún tipo de equipo de rehabilitación que les facilitó su participación en las actividades. </w:t>
            </w:r>
          </w:p>
        </w:tc>
      </w:tr>
      <w:tr w:rsidR="009014C8" w14:paraId="0DE6570C" w14:textId="77777777" w:rsidTr="009014C8">
        <w:tc>
          <w:tcPr>
            <w:tcW w:w="10343" w:type="dxa"/>
            <w:gridSpan w:val="3"/>
            <w:tcBorders>
              <w:top w:val="single" w:sz="4" w:space="0" w:color="auto"/>
              <w:left w:val="nil"/>
              <w:bottom w:val="single" w:sz="4" w:space="0" w:color="auto"/>
              <w:right w:val="nil"/>
            </w:tcBorders>
          </w:tcPr>
          <w:p w14:paraId="475B1FF8" w14:textId="59BB1EFB" w:rsidR="009014C8" w:rsidRPr="008C4DF3" w:rsidRDefault="009E5227" w:rsidP="004810A6">
            <w:pPr>
              <w:spacing w:after="60"/>
              <w:rPr>
                <w:rFonts w:ascii="Calibri" w:hAnsi="Calibri" w:cs="Calibri"/>
                <w:b/>
                <w:sz w:val="18"/>
                <w:szCs w:val="18"/>
              </w:rPr>
            </w:pPr>
            <w:r w:rsidRPr="008C4DF3">
              <w:rPr>
                <w:rFonts w:ascii="Calibri" w:hAnsi="Calibri" w:cs="Calibri"/>
                <w:noProof/>
                <w:sz w:val="18"/>
                <w:szCs w:val="18"/>
                <w:lang w:val="es-SV" w:eastAsia="es-SV" w:bidi="ar-SA"/>
              </w:rPr>
              <mc:AlternateContent>
                <mc:Choice Requires="wps">
                  <w:drawing>
                    <wp:anchor distT="0" distB="0" distL="114300" distR="114300" simplePos="0" relativeHeight="251675648" behindDoc="0" locked="0" layoutInCell="1" allowOverlap="1" wp14:anchorId="223A69C6" wp14:editId="362694D0">
                      <wp:simplePos x="0" y="0"/>
                      <wp:positionH relativeFrom="column">
                        <wp:posOffset>3597910</wp:posOffset>
                      </wp:positionH>
                      <wp:positionV relativeFrom="paragraph">
                        <wp:posOffset>-83820</wp:posOffset>
                      </wp:positionV>
                      <wp:extent cx="282892" cy="301625"/>
                      <wp:effectExtent l="28575" t="9525" r="12700" b="12700"/>
                      <wp:wrapNone/>
                      <wp:docPr id="3" name="Arrow: Right 3"/>
                      <wp:cNvGraphicFramePr/>
                      <a:graphic xmlns:a="http://schemas.openxmlformats.org/drawingml/2006/main">
                        <a:graphicData uri="http://schemas.microsoft.com/office/word/2010/wordprocessingShape">
                          <wps:wsp>
                            <wps:cNvSpPr/>
                            <wps:spPr>
                              <a:xfrm rot="16200000">
                                <a:off x="0" y="0"/>
                                <a:ext cx="282892" cy="301625"/>
                              </a:xfrm>
                              <a:prstGeom prst="rightArrow">
                                <a:avLst/>
                              </a:prstGeom>
                              <a:solidFill>
                                <a:srgbClr val="70AD47">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xmlns:o="urn:schemas-microsoft-com:office:office" xmlns:w14="http://schemas.microsoft.com/office/word/2010/wordml" xmlns:v="urn:schemas-microsoft-com:vml" w14:anchorId="3FD8C86E" id="Arrow: Right 3" o:spid="_x0000_s1026" type="#_x0000_t13" style="position:absolute;margin-left:283.3pt;margin-top:-6.6pt;width:22.25pt;height:23.7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" adj="10800" fillcolor="#548235" strokecolor="#2f528f" strokeweight="1pt"/>
                  </w:pict>
                </mc:Fallback>
              </mc:AlternateContent>
            </w:r>
            <w:r w:rsidRPr="008C4DF3">
              <w:rPr>
                <w:rFonts w:ascii="Calibri" w:hAnsi="Calibri" w:cs="Calibri"/>
                <w:noProof/>
                <w:sz w:val="18"/>
                <w:szCs w:val="18"/>
                <w:lang w:val="es-SV" w:eastAsia="es-SV" w:bidi="ar-SA"/>
              </w:rPr>
              <mc:AlternateContent>
                <mc:Choice Requires="wps">
                  <w:drawing>
                    <wp:anchor distT="0" distB="0" distL="114300" distR="114300" simplePos="0" relativeHeight="251673600" behindDoc="0" locked="0" layoutInCell="1" allowOverlap="1" wp14:anchorId="1BD5BD31" wp14:editId="362D68DC">
                      <wp:simplePos x="0" y="0"/>
                      <wp:positionH relativeFrom="column">
                        <wp:posOffset>5356860</wp:posOffset>
                      </wp:positionH>
                      <wp:positionV relativeFrom="paragraph">
                        <wp:posOffset>-84455</wp:posOffset>
                      </wp:positionV>
                      <wp:extent cx="282892" cy="301625"/>
                      <wp:effectExtent l="28575" t="9525" r="12700" b="12700"/>
                      <wp:wrapNone/>
                      <wp:docPr id="2" name="Arrow: Right 2"/>
                      <wp:cNvGraphicFramePr/>
                      <a:graphic xmlns:a="http://schemas.openxmlformats.org/drawingml/2006/main">
                        <a:graphicData uri="http://schemas.microsoft.com/office/word/2010/wordprocessingShape">
                          <wps:wsp>
                            <wps:cNvSpPr/>
                            <wps:spPr>
                              <a:xfrm rot="16200000">
                                <a:off x="0" y="0"/>
                                <a:ext cx="282892" cy="301625"/>
                              </a:xfrm>
                              <a:prstGeom prst="rightArrow">
                                <a:avLst/>
                              </a:prstGeom>
                              <a:solidFill>
                                <a:srgbClr val="70AD47">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xmlns:o="urn:schemas-microsoft-com:office:office" xmlns:w14="http://schemas.microsoft.com/office/word/2010/wordml" xmlns:v="urn:schemas-microsoft-com:vml" w14:anchorId="00D69B88" id="Arrow: Right 2" o:spid="_x0000_s1026" type="#_x0000_t13" style="position:absolute;margin-left:421.8pt;margin-top:-6.65pt;width:22.25pt;height:23.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" adj="10800" fillcolor="#548235" strokecolor="#2f528f" strokeweight="1pt"/>
                  </w:pict>
                </mc:Fallback>
              </mc:AlternateContent>
            </w:r>
            <w:r w:rsidRPr="008C4DF3">
              <w:rPr>
                <w:rFonts w:ascii="Calibri" w:hAnsi="Calibri" w:cs="Calibri"/>
                <w:noProof/>
                <w:sz w:val="18"/>
                <w:szCs w:val="18"/>
                <w:lang w:val="es-SV" w:eastAsia="es-SV" w:bidi="ar-SA"/>
              </w:rPr>
              <mc:AlternateContent>
                <mc:Choice Requires="wps">
                  <w:drawing>
                    <wp:anchor distT="0" distB="0" distL="114300" distR="114300" simplePos="0" relativeHeight="251669504" behindDoc="0" locked="0" layoutInCell="1" allowOverlap="1" wp14:anchorId="4E888EAF" wp14:editId="2229671B">
                      <wp:simplePos x="0" y="0"/>
                      <wp:positionH relativeFrom="column">
                        <wp:posOffset>924560</wp:posOffset>
                      </wp:positionH>
                      <wp:positionV relativeFrom="paragraph">
                        <wp:posOffset>-88582</wp:posOffset>
                      </wp:positionV>
                      <wp:extent cx="282892" cy="301625"/>
                      <wp:effectExtent l="28575" t="9525" r="12700" b="12700"/>
                      <wp:wrapNone/>
                      <wp:docPr id="12" name="Arrow: Right 12"/>
                      <wp:cNvGraphicFramePr/>
                      <a:graphic xmlns:a="http://schemas.openxmlformats.org/drawingml/2006/main">
                        <a:graphicData uri="http://schemas.microsoft.com/office/word/2010/wordprocessingShape">
                          <wps:wsp>
                            <wps:cNvSpPr/>
                            <wps:spPr>
                              <a:xfrm rot="16200000">
                                <a:off x="0" y="0"/>
                                <a:ext cx="282892" cy="3016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xmlns:o="urn:schemas-microsoft-com:office:office" xmlns:w14="http://schemas.microsoft.com/office/word/2010/wordml" xmlns:v="urn:schemas-microsoft-com:vml" w14:anchorId="2D5A61EA" id="Arrow: Right 12" o:spid="_x0000_s1026" type="#_x0000_t13" style="position:absolute;margin-left:72.8pt;margin-top:-6.95pt;width:22.25pt;height:23.7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" adj="10800" fillcolor="#538135 [2409]" strokecolor="#1f3763 [1604]" strokeweight="1pt"/>
                  </w:pict>
                </mc:Fallback>
              </mc:AlternateContent>
            </w:r>
          </w:p>
        </w:tc>
      </w:tr>
      <w:tr w:rsidR="004810A6" w14:paraId="7F840ECD" w14:textId="77777777" w:rsidTr="009014C8">
        <w:tc>
          <w:tcPr>
            <w:tcW w:w="10343" w:type="dxa"/>
            <w:gridSpan w:val="3"/>
            <w:tcBorders>
              <w:top w:val="single" w:sz="4" w:space="0" w:color="auto"/>
            </w:tcBorders>
          </w:tcPr>
          <w:p w14:paraId="63E0F9EB" w14:textId="74C597E5" w:rsidR="004810A6" w:rsidRPr="008C4DF3" w:rsidRDefault="008C4DF3" w:rsidP="004810A6">
            <w:pPr>
              <w:spacing w:after="60"/>
              <w:rPr>
                <w:rFonts w:ascii="Calibri" w:hAnsi="Calibri" w:cs="Calibri"/>
                <w:sz w:val="18"/>
                <w:szCs w:val="18"/>
              </w:rPr>
            </w:pPr>
            <w:r>
              <w:rPr>
                <w:rFonts w:ascii="Calibri" w:hAnsi="Calibri"/>
                <w:b/>
                <w:sz w:val="18"/>
                <w:szCs w:val="18"/>
              </w:rPr>
              <w:t xml:space="preserve">GEM </w:t>
            </w:r>
            <w:r w:rsidR="004810A6" w:rsidRPr="008C4DF3">
              <w:rPr>
                <w:rFonts w:ascii="Calibri" w:hAnsi="Calibri"/>
                <w:b/>
                <w:sz w:val="18"/>
                <w:szCs w:val="18"/>
              </w:rPr>
              <w:t>G clave: Influencia en los proyectos</w:t>
            </w:r>
            <w:r w:rsidR="004810A6" w:rsidRPr="008C4DF3">
              <w:rPr>
                <w:rFonts w:ascii="Calibri" w:hAnsi="Calibri"/>
                <w:sz w:val="18"/>
                <w:szCs w:val="18"/>
              </w:rPr>
              <w:t xml:space="preserve"> (¿Cómo se involucraron las mujer</w:t>
            </w:r>
            <w:r>
              <w:rPr>
                <w:rFonts w:ascii="Calibri" w:hAnsi="Calibri"/>
                <w:sz w:val="18"/>
                <w:szCs w:val="18"/>
              </w:rPr>
              <w:t xml:space="preserve">es, niñas, niños y hombres con </w:t>
            </w:r>
            <w:r w:rsidR="004810A6" w:rsidRPr="008C4DF3">
              <w:rPr>
                <w:rFonts w:ascii="Calibri" w:hAnsi="Calibri"/>
                <w:sz w:val="18"/>
                <w:szCs w:val="18"/>
              </w:rPr>
              <w:t xml:space="preserve">discapacidades en </w:t>
            </w:r>
            <w:r>
              <w:rPr>
                <w:rFonts w:ascii="Calibri" w:hAnsi="Calibri"/>
                <w:sz w:val="18"/>
                <w:szCs w:val="18"/>
              </w:rPr>
              <w:t xml:space="preserve">distintos grupos de edad en la </w:t>
            </w:r>
            <w:r w:rsidR="004810A6" w:rsidRPr="008C4DF3">
              <w:rPr>
                <w:rFonts w:ascii="Calibri" w:hAnsi="Calibri"/>
                <w:sz w:val="18"/>
                <w:szCs w:val="18"/>
              </w:rPr>
              <w:t xml:space="preserve">toma de decisiones?) </w:t>
            </w:r>
          </w:p>
          <w:p w14:paraId="3C1B5476" w14:textId="652ADADF" w:rsidR="004810A6" w:rsidRPr="008C4DF3" w:rsidRDefault="004810A6" w:rsidP="004810A6">
            <w:pPr>
              <w:spacing w:after="60"/>
              <w:rPr>
                <w:rFonts w:ascii="Calibri" w:hAnsi="Calibri" w:cs="Calibri"/>
                <w:sz w:val="18"/>
                <w:szCs w:val="18"/>
              </w:rPr>
            </w:pPr>
            <w:r w:rsidRPr="008C4DF3">
              <w:rPr>
                <w:rFonts w:ascii="Calibri" w:hAnsi="Calibri"/>
                <w:sz w:val="18"/>
                <w:szCs w:val="18"/>
              </w:rPr>
              <w:t>Se les preguntó a las mujer</w:t>
            </w:r>
            <w:r w:rsidR="008C4DF3">
              <w:rPr>
                <w:rFonts w:ascii="Calibri" w:hAnsi="Calibri"/>
                <w:sz w:val="18"/>
                <w:szCs w:val="18"/>
              </w:rPr>
              <w:t xml:space="preserve">es, niñas, niños y hombres con </w:t>
            </w:r>
            <w:r w:rsidRPr="008C4DF3">
              <w:rPr>
                <w:rFonts w:ascii="Calibri" w:hAnsi="Calibri"/>
                <w:sz w:val="18"/>
                <w:szCs w:val="18"/>
              </w:rPr>
              <w:t>discapacidades en distintos grupos de edad acerca de sus necesidades y cómo deben estas ser abordadas. Todos estuvieron de acuerdo sobre la necesidad de servicios de apoyo sobre salud mental y psicosocial, y esto ha sido priorizado por agencias, junto con la prestación de servicios de salud reproductiva solicitados por mujeres y niñas.  Distintos</w:t>
            </w:r>
            <w:r w:rsidR="008C4DF3">
              <w:rPr>
                <w:rFonts w:ascii="Calibri" w:hAnsi="Calibri"/>
                <w:sz w:val="18"/>
                <w:szCs w:val="18"/>
              </w:rPr>
              <w:t xml:space="preserve"> grupos de género y edad fueron</w:t>
            </w:r>
            <w:r w:rsidRPr="008C4DF3">
              <w:rPr>
                <w:rFonts w:ascii="Calibri" w:hAnsi="Calibri"/>
                <w:sz w:val="18"/>
                <w:szCs w:val="18"/>
              </w:rPr>
              <w:t xml:space="preserve"> involucrados en la selección de artículos para los kits NFI, incluida ropa, ropa de cama, materiales de higiene menstrual, ayudas de rehabilitación, pañales, bolsas de orina y bacinicas para cama, etc. Las niñas y niños con discapacidades reportaron que todavía no estaban involucrados significativamente en la planificación con los organizadores de espacios acogedores para la infancia, destacando la necesidad de fortalecer los enfoques de planificación participativa de los facilitadores. Las mujeres y hombres mayores con discapacidades reportaron estar excluidos de las consultas comunitarias y los procesos de toma de decisiones, destacando la necesidad de más sensibilización dirigida y concienciación en la comunidad.</w:t>
            </w:r>
          </w:p>
        </w:tc>
      </w:tr>
    </w:tbl>
    <w:p w14:paraId="6A8EE757" w14:textId="77777777" w:rsidR="00E412FE" w:rsidRPr="00E412FE" w:rsidRDefault="00E412FE" w:rsidP="00E412FE">
      <w:pPr>
        <w:spacing w:after="120" w:line="240" w:lineRule="auto"/>
        <w:rPr>
          <w:rFonts w:ascii="Calibri" w:hAnsi="Calibri" w:cs="Calibri"/>
          <w:b/>
          <w:sz w:val="20"/>
          <w:szCs w:val="20"/>
          <w:u w:val="single"/>
        </w:rPr>
      </w:pPr>
    </w:p>
    <w:sectPr w:rsidR="00E412FE" w:rsidRPr="00E412FE" w:rsidSect="00AE61AD">
      <w:type w:val="continuous"/>
      <w:pgSz w:w="12240" w:h="15840"/>
      <w:pgMar w:top="851" w:right="1467" w:bottom="709" w:left="851" w:header="720" w:footer="0"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6DBCB" w14:textId="77777777" w:rsidR="007006C2" w:rsidRDefault="007006C2" w:rsidP="004B53AA">
      <w:pPr>
        <w:spacing w:after="0" w:line="240" w:lineRule="auto"/>
      </w:pPr>
      <w:r>
        <w:separator/>
      </w:r>
    </w:p>
    <w:p w14:paraId="067AA42F" w14:textId="77777777" w:rsidR="007006C2" w:rsidRDefault="007006C2"/>
  </w:endnote>
  <w:endnote w:type="continuationSeparator" w:id="0">
    <w:p w14:paraId="5F72FF47" w14:textId="77777777" w:rsidR="007006C2" w:rsidRDefault="007006C2" w:rsidP="004B53AA">
      <w:pPr>
        <w:spacing w:after="0" w:line="240" w:lineRule="auto"/>
      </w:pPr>
      <w:r>
        <w:continuationSeparator/>
      </w:r>
    </w:p>
    <w:p w14:paraId="59B82F8B" w14:textId="77777777" w:rsidR="007006C2" w:rsidRDefault="00700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144D3" w14:textId="77777777" w:rsidR="009B3568" w:rsidRDefault="009B356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A8B1" w14:textId="3BB892C4" w:rsidR="004B53AA" w:rsidRDefault="004B53AA">
    <w:pPr>
      <w:pStyle w:val="Piedepgina"/>
    </w:pPr>
  </w:p>
  <w:p w14:paraId="0B660DED" w14:textId="77777777" w:rsidR="007102D3" w:rsidRDefault="007102D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8B4FF" w14:textId="77777777" w:rsidR="009B3568" w:rsidRDefault="009B35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1936B" w14:textId="77777777" w:rsidR="007006C2" w:rsidRDefault="007006C2" w:rsidP="004B53AA">
      <w:pPr>
        <w:spacing w:after="0" w:line="240" w:lineRule="auto"/>
      </w:pPr>
      <w:r>
        <w:separator/>
      </w:r>
    </w:p>
    <w:p w14:paraId="4F717684" w14:textId="77777777" w:rsidR="007006C2" w:rsidRDefault="007006C2"/>
  </w:footnote>
  <w:footnote w:type="continuationSeparator" w:id="0">
    <w:p w14:paraId="7E7B0542" w14:textId="77777777" w:rsidR="007006C2" w:rsidRDefault="007006C2" w:rsidP="004B53AA">
      <w:pPr>
        <w:spacing w:after="0" w:line="240" w:lineRule="auto"/>
      </w:pPr>
      <w:r>
        <w:continuationSeparator/>
      </w:r>
    </w:p>
    <w:p w14:paraId="50859F4D" w14:textId="77777777" w:rsidR="007006C2" w:rsidRDefault="007006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90D37" w14:textId="38EC9B3C" w:rsidR="004B53AA" w:rsidRDefault="007006C2">
    <w:pPr>
      <w:pStyle w:val="Encabezado"/>
    </w:pPr>
    <w:r>
      <w:rPr>
        <w:noProof/>
      </w:rPr>
      <w:pict w14:anchorId="623BED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12219" o:spid="_x0000_s2050" type="#_x0000_t136" style="position:absolute;margin-left:0;margin-top:0;width:443.3pt;height:266pt;rotation:315;z-index:-25165516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p w14:paraId="1EB439C4" w14:textId="77777777" w:rsidR="007102D3" w:rsidRDefault="007102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98F6D" w14:textId="5D888DA6" w:rsidR="007102D3" w:rsidRDefault="007006C2" w:rsidP="00AA1807">
    <w:pPr>
      <w:pStyle w:val="Encabezado"/>
      <w:jc w:val="center"/>
    </w:pPr>
    <w:r>
      <w:rPr>
        <w:noProof/>
      </w:rPr>
      <w:pict w14:anchorId="49A31E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12220" o:spid="_x0000_s2051" type="#_x0000_t136" style="position:absolute;left:0;text-align:left;margin-left:0;margin-top:0;width:443.3pt;height:266pt;rotation:315;z-index:-25165312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A16631">
      <w:rPr>
        <w:noProof/>
        <w:lang w:val="es-SV" w:eastAsia="es-SV" w:bidi="ar-SA"/>
      </w:rPr>
      <w:drawing>
        <wp:inline distT="0" distB="0" distL="0" distR="0" wp14:anchorId="10A3FAE6" wp14:editId="7DDD04D2">
          <wp:extent cx="2733675" cy="342900"/>
          <wp:effectExtent l="0" t="0" r="9525" b="0"/>
          <wp:docPr id="8" name="Picture 8" descr="C:\Users\CLIFTON\AppData\Local\Microsoft\Windows\INetCache\Content.Word\GAM logo EN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FTON\AppData\Local\Microsoft\Windows\INetCache\Content.Word\GAM logo EN 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342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1D2AE" w14:textId="2F6E5E6A" w:rsidR="009B3568" w:rsidRDefault="007006C2">
    <w:pPr>
      <w:pStyle w:val="Encabezado"/>
    </w:pPr>
    <w:r>
      <w:rPr>
        <w:noProof/>
      </w:rPr>
      <w:pict w14:anchorId="19F66B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12218" o:spid="_x0000_s2049" type="#_x0000_t136" style="position:absolute;margin-left:0;margin-top:0;width:443.3pt;height:266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6BF"/>
    <w:multiLevelType w:val="hybridMultilevel"/>
    <w:tmpl w:val="849E2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C5C9C"/>
    <w:multiLevelType w:val="hybridMultilevel"/>
    <w:tmpl w:val="E77C08E4"/>
    <w:lvl w:ilvl="0" w:tplc="BB24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D363F"/>
    <w:multiLevelType w:val="hybridMultilevel"/>
    <w:tmpl w:val="BF9AEE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E75EC"/>
    <w:multiLevelType w:val="hybridMultilevel"/>
    <w:tmpl w:val="4A0E8160"/>
    <w:lvl w:ilvl="0" w:tplc="1410FF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F702F"/>
    <w:multiLevelType w:val="hybridMultilevel"/>
    <w:tmpl w:val="826CFE1A"/>
    <w:lvl w:ilvl="0" w:tplc="5FE412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BA4A77"/>
    <w:multiLevelType w:val="hybridMultilevel"/>
    <w:tmpl w:val="B14AED56"/>
    <w:lvl w:ilvl="0" w:tplc="582886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D71EE"/>
    <w:multiLevelType w:val="hybridMultilevel"/>
    <w:tmpl w:val="C2A25932"/>
    <w:lvl w:ilvl="0" w:tplc="5964D0C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9F5510"/>
    <w:multiLevelType w:val="hybridMultilevel"/>
    <w:tmpl w:val="A3D6E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12"/>
    <w:rsid w:val="00022D43"/>
    <w:rsid w:val="00036612"/>
    <w:rsid w:val="000455BC"/>
    <w:rsid w:val="00045FE2"/>
    <w:rsid w:val="00066ECA"/>
    <w:rsid w:val="00093A77"/>
    <w:rsid w:val="000D6833"/>
    <w:rsid w:val="000E6CD4"/>
    <w:rsid w:val="000F3813"/>
    <w:rsid w:val="000F6AB0"/>
    <w:rsid w:val="00100A5C"/>
    <w:rsid w:val="00117E43"/>
    <w:rsid w:val="00146F46"/>
    <w:rsid w:val="00152A45"/>
    <w:rsid w:val="00175639"/>
    <w:rsid w:val="00186E2D"/>
    <w:rsid w:val="001D158D"/>
    <w:rsid w:val="001F2B16"/>
    <w:rsid w:val="00203DE5"/>
    <w:rsid w:val="002444B3"/>
    <w:rsid w:val="00246413"/>
    <w:rsid w:val="0024746B"/>
    <w:rsid w:val="00271E85"/>
    <w:rsid w:val="00286EBB"/>
    <w:rsid w:val="002943E6"/>
    <w:rsid w:val="002A48A2"/>
    <w:rsid w:val="002D5D14"/>
    <w:rsid w:val="002D5E33"/>
    <w:rsid w:val="002E6116"/>
    <w:rsid w:val="003016A3"/>
    <w:rsid w:val="00301B6E"/>
    <w:rsid w:val="00306150"/>
    <w:rsid w:val="00314B44"/>
    <w:rsid w:val="0033599E"/>
    <w:rsid w:val="00335A27"/>
    <w:rsid w:val="00387EEA"/>
    <w:rsid w:val="003908F0"/>
    <w:rsid w:val="00395111"/>
    <w:rsid w:val="003A1301"/>
    <w:rsid w:val="003B4E91"/>
    <w:rsid w:val="003C4805"/>
    <w:rsid w:val="003C7571"/>
    <w:rsid w:val="003D5E7C"/>
    <w:rsid w:val="003E282F"/>
    <w:rsid w:val="003E67E5"/>
    <w:rsid w:val="0040366F"/>
    <w:rsid w:val="00412065"/>
    <w:rsid w:val="00430DB6"/>
    <w:rsid w:val="0043693B"/>
    <w:rsid w:val="00437CD4"/>
    <w:rsid w:val="00440441"/>
    <w:rsid w:val="00446E40"/>
    <w:rsid w:val="00460970"/>
    <w:rsid w:val="004665CF"/>
    <w:rsid w:val="00467CE9"/>
    <w:rsid w:val="00475713"/>
    <w:rsid w:val="004810A6"/>
    <w:rsid w:val="004910D4"/>
    <w:rsid w:val="004944C4"/>
    <w:rsid w:val="00497421"/>
    <w:rsid w:val="004B53AA"/>
    <w:rsid w:val="004C27ED"/>
    <w:rsid w:val="004D2D2F"/>
    <w:rsid w:val="004E68CF"/>
    <w:rsid w:val="004F4A62"/>
    <w:rsid w:val="0050218D"/>
    <w:rsid w:val="005170A4"/>
    <w:rsid w:val="0052162D"/>
    <w:rsid w:val="00526D89"/>
    <w:rsid w:val="00531153"/>
    <w:rsid w:val="005417FD"/>
    <w:rsid w:val="00550B8D"/>
    <w:rsid w:val="00551EB0"/>
    <w:rsid w:val="00553651"/>
    <w:rsid w:val="00554E72"/>
    <w:rsid w:val="0058200D"/>
    <w:rsid w:val="005B330D"/>
    <w:rsid w:val="005D63A6"/>
    <w:rsid w:val="005F3888"/>
    <w:rsid w:val="005F615B"/>
    <w:rsid w:val="0061369A"/>
    <w:rsid w:val="006163BE"/>
    <w:rsid w:val="006169BA"/>
    <w:rsid w:val="006235AD"/>
    <w:rsid w:val="006240BC"/>
    <w:rsid w:val="00626B19"/>
    <w:rsid w:val="006279D9"/>
    <w:rsid w:val="006345D1"/>
    <w:rsid w:val="006356B1"/>
    <w:rsid w:val="00647123"/>
    <w:rsid w:val="006725CB"/>
    <w:rsid w:val="0068495C"/>
    <w:rsid w:val="0069485A"/>
    <w:rsid w:val="006C566F"/>
    <w:rsid w:val="006C73D5"/>
    <w:rsid w:val="006D63F2"/>
    <w:rsid w:val="006F43E8"/>
    <w:rsid w:val="007006C2"/>
    <w:rsid w:val="007102D3"/>
    <w:rsid w:val="0071653D"/>
    <w:rsid w:val="00754E9D"/>
    <w:rsid w:val="00781583"/>
    <w:rsid w:val="0078348B"/>
    <w:rsid w:val="00783534"/>
    <w:rsid w:val="00793D87"/>
    <w:rsid w:val="007A23CB"/>
    <w:rsid w:val="007D2C32"/>
    <w:rsid w:val="007D605E"/>
    <w:rsid w:val="00816E3F"/>
    <w:rsid w:val="008400F3"/>
    <w:rsid w:val="00843CCF"/>
    <w:rsid w:val="00843E76"/>
    <w:rsid w:val="008521C7"/>
    <w:rsid w:val="008633B5"/>
    <w:rsid w:val="00875D54"/>
    <w:rsid w:val="00892591"/>
    <w:rsid w:val="00896CD7"/>
    <w:rsid w:val="008A64C1"/>
    <w:rsid w:val="008C4DF3"/>
    <w:rsid w:val="008D1557"/>
    <w:rsid w:val="008E50AE"/>
    <w:rsid w:val="008F145E"/>
    <w:rsid w:val="008F376F"/>
    <w:rsid w:val="009014C8"/>
    <w:rsid w:val="00952481"/>
    <w:rsid w:val="00957EF4"/>
    <w:rsid w:val="0099356C"/>
    <w:rsid w:val="009B3568"/>
    <w:rsid w:val="009C0797"/>
    <w:rsid w:val="009E5227"/>
    <w:rsid w:val="009F1DC1"/>
    <w:rsid w:val="009F4A02"/>
    <w:rsid w:val="00A16631"/>
    <w:rsid w:val="00A24901"/>
    <w:rsid w:val="00A42F12"/>
    <w:rsid w:val="00A51F3B"/>
    <w:rsid w:val="00A60535"/>
    <w:rsid w:val="00A67D4D"/>
    <w:rsid w:val="00A960A6"/>
    <w:rsid w:val="00AA1807"/>
    <w:rsid w:val="00AB2FCE"/>
    <w:rsid w:val="00AB7FC6"/>
    <w:rsid w:val="00AC7F8C"/>
    <w:rsid w:val="00AE36CF"/>
    <w:rsid w:val="00AE61AD"/>
    <w:rsid w:val="00B04821"/>
    <w:rsid w:val="00B41171"/>
    <w:rsid w:val="00B955C3"/>
    <w:rsid w:val="00BA67DE"/>
    <w:rsid w:val="00BB09E8"/>
    <w:rsid w:val="00BB62A8"/>
    <w:rsid w:val="00BB7528"/>
    <w:rsid w:val="00BC0A18"/>
    <w:rsid w:val="00BD0B45"/>
    <w:rsid w:val="00BD5095"/>
    <w:rsid w:val="00BE3BF5"/>
    <w:rsid w:val="00BE72AC"/>
    <w:rsid w:val="00C009E8"/>
    <w:rsid w:val="00C023E8"/>
    <w:rsid w:val="00C364E5"/>
    <w:rsid w:val="00C40426"/>
    <w:rsid w:val="00C94B85"/>
    <w:rsid w:val="00CC0165"/>
    <w:rsid w:val="00CE278F"/>
    <w:rsid w:val="00CF5996"/>
    <w:rsid w:val="00D162A9"/>
    <w:rsid w:val="00D275EC"/>
    <w:rsid w:val="00D27D72"/>
    <w:rsid w:val="00D326C0"/>
    <w:rsid w:val="00D3761B"/>
    <w:rsid w:val="00D40E93"/>
    <w:rsid w:val="00D55EFC"/>
    <w:rsid w:val="00D7140D"/>
    <w:rsid w:val="00D74B42"/>
    <w:rsid w:val="00D74BA3"/>
    <w:rsid w:val="00D81A88"/>
    <w:rsid w:val="00D97A87"/>
    <w:rsid w:val="00DA3576"/>
    <w:rsid w:val="00DF316C"/>
    <w:rsid w:val="00DF581E"/>
    <w:rsid w:val="00E12D29"/>
    <w:rsid w:val="00E36B99"/>
    <w:rsid w:val="00E412FE"/>
    <w:rsid w:val="00E531DB"/>
    <w:rsid w:val="00E65151"/>
    <w:rsid w:val="00E66270"/>
    <w:rsid w:val="00E7140E"/>
    <w:rsid w:val="00EA27B6"/>
    <w:rsid w:val="00EA4BEC"/>
    <w:rsid w:val="00EB5FAD"/>
    <w:rsid w:val="00EC49A8"/>
    <w:rsid w:val="00EE0505"/>
    <w:rsid w:val="00EE5328"/>
    <w:rsid w:val="00EF294D"/>
    <w:rsid w:val="00EF6968"/>
    <w:rsid w:val="00F11511"/>
    <w:rsid w:val="00F334AE"/>
    <w:rsid w:val="00F73B92"/>
    <w:rsid w:val="00F92566"/>
    <w:rsid w:val="00FA3891"/>
    <w:rsid w:val="00FC5193"/>
    <w:rsid w:val="00FD4D35"/>
    <w:rsid w:val="00FF2B84"/>
    <w:rsid w:val="00FF71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5AAC26"/>
  <w15:chartTrackingRefBased/>
  <w15:docId w15:val="{B0178947-C836-402D-B5E2-8DE838E8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s-US" w:bidi="es-U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2F12"/>
    <w:pPr>
      <w:ind w:left="720"/>
      <w:contextualSpacing/>
    </w:pPr>
  </w:style>
  <w:style w:type="character" w:styleId="Refdecomentario">
    <w:name w:val="annotation reference"/>
    <w:basedOn w:val="Fuentedeprrafopredeter"/>
    <w:uiPriority w:val="99"/>
    <w:semiHidden/>
    <w:unhideWhenUsed/>
    <w:rsid w:val="00A42F12"/>
    <w:rPr>
      <w:sz w:val="16"/>
      <w:szCs w:val="16"/>
    </w:rPr>
  </w:style>
  <w:style w:type="paragraph" w:styleId="Textocomentario">
    <w:name w:val="annotation text"/>
    <w:basedOn w:val="Normal"/>
    <w:link w:val="TextocomentarioCar"/>
    <w:uiPriority w:val="99"/>
    <w:unhideWhenUsed/>
    <w:rsid w:val="00A42F12"/>
    <w:pPr>
      <w:spacing w:line="240" w:lineRule="auto"/>
    </w:pPr>
    <w:rPr>
      <w:sz w:val="20"/>
      <w:szCs w:val="20"/>
    </w:rPr>
  </w:style>
  <w:style w:type="character" w:customStyle="1" w:styleId="TextocomentarioCar">
    <w:name w:val="Texto comentario Car"/>
    <w:basedOn w:val="Fuentedeprrafopredeter"/>
    <w:link w:val="Textocomentario"/>
    <w:uiPriority w:val="99"/>
    <w:rsid w:val="00A42F12"/>
    <w:rPr>
      <w:sz w:val="20"/>
      <w:szCs w:val="20"/>
    </w:rPr>
  </w:style>
  <w:style w:type="paragraph" w:styleId="Asuntodelcomentario">
    <w:name w:val="annotation subject"/>
    <w:basedOn w:val="Textocomentario"/>
    <w:next w:val="Textocomentario"/>
    <w:link w:val="AsuntodelcomentarioCar"/>
    <w:uiPriority w:val="99"/>
    <w:semiHidden/>
    <w:unhideWhenUsed/>
    <w:rsid w:val="00A42F12"/>
    <w:rPr>
      <w:b/>
      <w:bCs/>
    </w:rPr>
  </w:style>
  <w:style w:type="character" w:customStyle="1" w:styleId="AsuntodelcomentarioCar">
    <w:name w:val="Asunto del comentario Car"/>
    <w:basedOn w:val="TextocomentarioCar"/>
    <w:link w:val="Asuntodelcomentario"/>
    <w:uiPriority w:val="99"/>
    <w:semiHidden/>
    <w:rsid w:val="00A42F12"/>
    <w:rPr>
      <w:b/>
      <w:bCs/>
      <w:sz w:val="20"/>
      <w:szCs w:val="20"/>
    </w:rPr>
  </w:style>
  <w:style w:type="paragraph" w:styleId="Textodeglobo">
    <w:name w:val="Balloon Text"/>
    <w:basedOn w:val="Normal"/>
    <w:link w:val="TextodegloboCar"/>
    <w:uiPriority w:val="99"/>
    <w:semiHidden/>
    <w:unhideWhenUsed/>
    <w:rsid w:val="00A42F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F12"/>
    <w:rPr>
      <w:rFonts w:ascii="Segoe UI" w:hAnsi="Segoe UI" w:cs="Segoe UI"/>
      <w:sz w:val="18"/>
      <w:szCs w:val="18"/>
    </w:rPr>
  </w:style>
  <w:style w:type="table" w:styleId="Tablaconcuadrcula">
    <w:name w:val="Table Grid"/>
    <w:basedOn w:val="Tablanormal"/>
    <w:uiPriority w:val="39"/>
    <w:rsid w:val="008D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E36CF"/>
    <w:pPr>
      <w:spacing w:after="0" w:line="240" w:lineRule="auto"/>
    </w:pPr>
  </w:style>
  <w:style w:type="paragraph" w:styleId="Encabezado">
    <w:name w:val="header"/>
    <w:basedOn w:val="Normal"/>
    <w:link w:val="EncabezadoCar"/>
    <w:uiPriority w:val="99"/>
    <w:unhideWhenUsed/>
    <w:rsid w:val="004B53A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B53AA"/>
  </w:style>
  <w:style w:type="paragraph" w:styleId="Piedepgina">
    <w:name w:val="footer"/>
    <w:basedOn w:val="Normal"/>
    <w:link w:val="PiedepginaCar"/>
    <w:uiPriority w:val="99"/>
    <w:unhideWhenUsed/>
    <w:rsid w:val="004B53A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B5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2A19F-0CC0-4584-9169-7C6534D7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1968</Words>
  <Characters>10824</Characters>
  <Application>Microsoft Office Word</Application>
  <DocSecurity>0</DocSecurity>
  <Lines>90</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Boram Lee</dc:creator>
  <cp:keywords/>
  <dc:description/>
  <cp:lastModifiedBy>Héctor Nolasco</cp:lastModifiedBy>
  <cp:revision>3</cp:revision>
  <cp:lastPrinted>2018-03-21T16:08:00Z</cp:lastPrinted>
  <dcterms:created xsi:type="dcterms:W3CDTF">2019-09-25T19:24:00Z</dcterms:created>
  <dcterms:modified xsi:type="dcterms:W3CDTF">2019-09-26T16:04:00Z</dcterms:modified>
</cp:coreProperties>
</file>